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837D1" w14:textId="77777777" w:rsidR="00F11B0B" w:rsidRDefault="00F11B0B">
      <w:pPr>
        <w:jc w:val="center"/>
        <w:rPr>
          <w:rFonts w:hint="eastAsia"/>
          <w:b/>
          <w:sz w:val="24"/>
          <w:lang w:eastAsia="zh-CN"/>
        </w:rPr>
      </w:pPr>
    </w:p>
    <w:p w14:paraId="52E1FED4" w14:textId="77777777" w:rsidR="00F11B0B" w:rsidRDefault="00F11B0B">
      <w:pPr>
        <w:jc w:val="center"/>
        <w:rPr>
          <w:rFonts w:hint="eastAsia"/>
          <w:b/>
          <w:sz w:val="24"/>
          <w:lang w:eastAsia="zh-CN"/>
        </w:rPr>
      </w:pPr>
    </w:p>
    <w:p w14:paraId="42F9E3CE" w14:textId="77777777" w:rsidR="00B47F2A" w:rsidRDefault="00B47F2A">
      <w:pPr>
        <w:jc w:val="center"/>
        <w:rPr>
          <w:b/>
          <w:sz w:val="24"/>
        </w:rPr>
      </w:pPr>
      <w:r>
        <w:rPr>
          <w:b/>
          <w:sz w:val="24"/>
        </w:rPr>
        <w:t>MING HUANG</w:t>
      </w:r>
    </w:p>
    <w:p w14:paraId="07A5390B" w14:textId="77777777" w:rsidR="00B47F2A" w:rsidRPr="007C239C" w:rsidRDefault="00B47F2A">
      <w:pPr>
        <w:jc w:val="center"/>
        <w:rPr>
          <w:sz w:val="16"/>
          <w:szCs w:val="16"/>
        </w:rPr>
      </w:pPr>
    </w:p>
    <w:p w14:paraId="688A215A" w14:textId="77777777" w:rsidR="00444B00" w:rsidRDefault="00444B00" w:rsidP="00444B00">
      <w:pPr>
        <w:jc w:val="center"/>
        <w:rPr>
          <w:rFonts w:hint="eastAsia"/>
          <w:sz w:val="24"/>
          <w:lang w:eastAsia="zh-CN"/>
        </w:rPr>
      </w:pPr>
    </w:p>
    <w:p w14:paraId="162E690B" w14:textId="77777777" w:rsidR="00444B00" w:rsidRDefault="00444B00" w:rsidP="00444B00">
      <w:pPr>
        <w:rPr>
          <w:sz w:val="24"/>
        </w:rPr>
      </w:pPr>
      <w:r>
        <w:rPr>
          <w:b/>
          <w:sz w:val="24"/>
          <w:u w:val="single"/>
        </w:rPr>
        <w:t>EDUCATION</w:t>
      </w:r>
    </w:p>
    <w:p w14:paraId="0D807B54" w14:textId="77777777" w:rsidR="00444B00" w:rsidRPr="00F171E8" w:rsidRDefault="00444B00" w:rsidP="00444B00">
      <w:pPr>
        <w:rPr>
          <w:sz w:val="16"/>
          <w:szCs w:val="16"/>
        </w:rPr>
      </w:pPr>
    </w:p>
    <w:p w14:paraId="1507FF10" w14:textId="77777777" w:rsidR="00444B00" w:rsidRDefault="00444B00" w:rsidP="00444B00">
      <w:pPr>
        <w:ind w:left="720"/>
        <w:rPr>
          <w:sz w:val="24"/>
        </w:rPr>
      </w:pPr>
      <w:r>
        <w:rPr>
          <w:sz w:val="24"/>
        </w:rPr>
        <w:t>Stanford University, Ph.D. in Finance, 1996</w:t>
      </w:r>
    </w:p>
    <w:p w14:paraId="6ED0CF78" w14:textId="77777777" w:rsidR="00444B00" w:rsidRPr="00F171E8" w:rsidRDefault="00444B00" w:rsidP="00444B00">
      <w:pPr>
        <w:jc w:val="both"/>
        <w:rPr>
          <w:sz w:val="12"/>
          <w:szCs w:val="12"/>
        </w:rPr>
      </w:pPr>
    </w:p>
    <w:p w14:paraId="5BB41372" w14:textId="77777777" w:rsidR="00444B00" w:rsidRDefault="00444B00" w:rsidP="00444B00">
      <w:pPr>
        <w:ind w:firstLine="720"/>
        <w:rPr>
          <w:sz w:val="24"/>
        </w:rPr>
      </w:pPr>
      <w:r>
        <w:rPr>
          <w:sz w:val="24"/>
        </w:rPr>
        <w:t>Cornell University, Ph.D. in Theoretical Physics, 1991</w:t>
      </w:r>
    </w:p>
    <w:p w14:paraId="265AE923" w14:textId="77777777" w:rsidR="00444B00" w:rsidRPr="00F171E8" w:rsidRDefault="00444B00" w:rsidP="00444B00">
      <w:pPr>
        <w:jc w:val="both"/>
        <w:rPr>
          <w:sz w:val="12"/>
          <w:szCs w:val="12"/>
        </w:rPr>
      </w:pPr>
    </w:p>
    <w:p w14:paraId="08AEACB3" w14:textId="77777777" w:rsidR="00444B00" w:rsidRPr="007C239C" w:rsidRDefault="00444B00" w:rsidP="00444B00">
      <w:pPr>
        <w:ind w:firstLine="720"/>
        <w:rPr>
          <w:sz w:val="24"/>
        </w:rPr>
      </w:pPr>
      <w:r>
        <w:rPr>
          <w:sz w:val="24"/>
        </w:rPr>
        <w:t>Beijing University, B.S. in Physics, 1985</w:t>
      </w:r>
    </w:p>
    <w:p w14:paraId="3023FF5B" w14:textId="77777777" w:rsidR="00444B00" w:rsidRPr="00F11B0B" w:rsidRDefault="00444B00" w:rsidP="00444B00">
      <w:pPr>
        <w:jc w:val="both"/>
        <w:rPr>
          <w:rFonts w:hint="eastAsia"/>
          <w:b/>
          <w:sz w:val="32"/>
          <w:szCs w:val="32"/>
          <w:u w:val="single"/>
          <w:lang w:eastAsia="zh-CN"/>
        </w:rPr>
      </w:pPr>
    </w:p>
    <w:p w14:paraId="700825F7" w14:textId="77777777" w:rsidR="0036338C" w:rsidRDefault="000B1DB3">
      <w:pPr>
        <w:rPr>
          <w:rFonts w:hint="eastAsia"/>
          <w:b/>
          <w:sz w:val="24"/>
          <w:u w:val="single"/>
          <w:lang w:eastAsia="zh-CN"/>
        </w:rPr>
      </w:pPr>
      <w:r>
        <w:rPr>
          <w:rFonts w:hint="eastAsia"/>
          <w:b/>
          <w:sz w:val="24"/>
          <w:u w:val="single"/>
          <w:lang w:eastAsia="zh-CN"/>
        </w:rPr>
        <w:t>CURRENT POSITION</w:t>
      </w:r>
    </w:p>
    <w:p w14:paraId="03A561C1" w14:textId="77777777" w:rsidR="0036338C" w:rsidRDefault="0036338C" w:rsidP="0036338C">
      <w:pPr>
        <w:jc w:val="both"/>
        <w:rPr>
          <w:rFonts w:hint="eastAsia"/>
          <w:sz w:val="24"/>
          <w:lang w:eastAsia="zh-CN"/>
        </w:rPr>
      </w:pPr>
    </w:p>
    <w:p w14:paraId="7AA3E7AD" w14:textId="77777777" w:rsidR="0036338C" w:rsidRDefault="0036338C" w:rsidP="00AD6F95">
      <w:pPr>
        <w:ind w:left="1350" w:hanging="630"/>
        <w:rPr>
          <w:sz w:val="24"/>
        </w:rPr>
      </w:pPr>
      <w:r>
        <w:rPr>
          <w:sz w:val="24"/>
        </w:rPr>
        <w:t xml:space="preserve">Professor of Finance, Cornell University, Johnson </w:t>
      </w:r>
      <w:r>
        <w:rPr>
          <w:rFonts w:hint="eastAsia"/>
          <w:sz w:val="24"/>
          <w:lang w:eastAsia="zh-CN"/>
        </w:rPr>
        <w:t xml:space="preserve">Graduate </w:t>
      </w:r>
      <w:r>
        <w:rPr>
          <w:sz w:val="24"/>
        </w:rPr>
        <w:t>School</w:t>
      </w:r>
      <w:r>
        <w:rPr>
          <w:rFonts w:hint="eastAsia"/>
          <w:sz w:val="24"/>
          <w:lang w:eastAsia="zh-CN"/>
        </w:rPr>
        <w:t xml:space="preserve"> of </w:t>
      </w:r>
      <w:r w:rsidR="00444B00">
        <w:rPr>
          <w:rFonts w:hint="eastAsia"/>
          <w:sz w:val="24"/>
          <w:lang w:eastAsia="zh-CN"/>
        </w:rPr>
        <w:t xml:space="preserve">  </w:t>
      </w:r>
      <w:r w:rsidR="00AD6F95">
        <w:rPr>
          <w:rFonts w:hint="eastAsia"/>
          <w:sz w:val="24"/>
          <w:lang w:eastAsia="zh-CN"/>
        </w:rPr>
        <w:t xml:space="preserve"> </w:t>
      </w:r>
      <w:r>
        <w:rPr>
          <w:rFonts w:hint="eastAsia"/>
          <w:sz w:val="24"/>
          <w:lang w:eastAsia="zh-CN"/>
        </w:rPr>
        <w:t>Management</w:t>
      </w:r>
      <w:r>
        <w:rPr>
          <w:sz w:val="24"/>
        </w:rPr>
        <w:t>, July 2005 – present.</w:t>
      </w:r>
    </w:p>
    <w:p w14:paraId="7CFBCB62" w14:textId="77777777" w:rsidR="00416D53" w:rsidRDefault="00416D53">
      <w:pPr>
        <w:rPr>
          <w:b/>
          <w:sz w:val="24"/>
          <w:u w:val="single"/>
          <w:lang w:eastAsia="zh-CN"/>
        </w:rPr>
      </w:pPr>
    </w:p>
    <w:p w14:paraId="62B67266" w14:textId="77777777" w:rsidR="00B47F2A" w:rsidRDefault="0036338C">
      <w:pPr>
        <w:rPr>
          <w:sz w:val="24"/>
        </w:rPr>
      </w:pPr>
      <w:r>
        <w:rPr>
          <w:rFonts w:hint="eastAsia"/>
          <w:b/>
          <w:sz w:val="24"/>
          <w:u w:val="single"/>
          <w:lang w:eastAsia="zh-CN"/>
        </w:rPr>
        <w:t xml:space="preserve">PAST </w:t>
      </w:r>
      <w:r w:rsidR="00B47F2A">
        <w:rPr>
          <w:b/>
          <w:sz w:val="24"/>
          <w:u w:val="single"/>
        </w:rPr>
        <w:t>ACADEMIC POSITIONS</w:t>
      </w:r>
    </w:p>
    <w:p w14:paraId="0C4FA061" w14:textId="77777777" w:rsidR="00B47F2A" w:rsidRPr="00F171E8" w:rsidRDefault="00B47F2A">
      <w:pPr>
        <w:rPr>
          <w:sz w:val="16"/>
          <w:szCs w:val="16"/>
        </w:rPr>
      </w:pPr>
    </w:p>
    <w:p w14:paraId="65C85D3D" w14:textId="77777777" w:rsidR="00F171E8" w:rsidRPr="00F171E8" w:rsidRDefault="00F171E8" w:rsidP="00F171E8">
      <w:pPr>
        <w:jc w:val="both"/>
        <w:rPr>
          <w:sz w:val="12"/>
          <w:szCs w:val="12"/>
        </w:rPr>
      </w:pPr>
    </w:p>
    <w:p w14:paraId="52ADC93F" w14:textId="77777777" w:rsidR="009A53D5" w:rsidRDefault="009A53D5" w:rsidP="009A53D5">
      <w:pPr>
        <w:ind w:left="1350" w:hanging="630"/>
        <w:rPr>
          <w:sz w:val="24"/>
        </w:rPr>
      </w:pPr>
      <w:r>
        <w:rPr>
          <w:sz w:val="24"/>
        </w:rPr>
        <w:t>Assistant Professor of Finance, University of Chicago, Graduate School of Business, April 1996 – June 1998.</w:t>
      </w:r>
    </w:p>
    <w:p w14:paraId="700E58CA" w14:textId="77777777" w:rsidR="009A53D5" w:rsidRPr="009A53D5" w:rsidRDefault="009A53D5" w:rsidP="009A53D5">
      <w:pPr>
        <w:rPr>
          <w:sz w:val="12"/>
          <w:szCs w:val="12"/>
        </w:rPr>
      </w:pPr>
    </w:p>
    <w:p w14:paraId="71713497" w14:textId="77777777" w:rsidR="009A53D5" w:rsidRDefault="009A53D5" w:rsidP="009A53D5">
      <w:pPr>
        <w:ind w:left="1350" w:hanging="630"/>
        <w:rPr>
          <w:sz w:val="24"/>
        </w:rPr>
      </w:pPr>
      <w:r>
        <w:rPr>
          <w:sz w:val="24"/>
        </w:rPr>
        <w:t>Assistant Professor of Finance, Stanford University, Graduate School of Business, July 1998 – August 2002.</w:t>
      </w:r>
    </w:p>
    <w:p w14:paraId="1EFB84C3" w14:textId="77777777" w:rsidR="009A53D5" w:rsidRPr="00F171E8" w:rsidRDefault="009A53D5" w:rsidP="009A53D5">
      <w:pPr>
        <w:rPr>
          <w:sz w:val="12"/>
          <w:szCs w:val="12"/>
        </w:rPr>
      </w:pPr>
    </w:p>
    <w:p w14:paraId="3220E2B7" w14:textId="77777777" w:rsidR="009A53D5" w:rsidRDefault="009A53D5" w:rsidP="009A53D5">
      <w:pPr>
        <w:ind w:left="1350" w:hanging="630"/>
        <w:rPr>
          <w:rFonts w:hint="eastAsia"/>
          <w:sz w:val="24"/>
          <w:lang w:eastAsia="zh-CN"/>
        </w:rPr>
      </w:pPr>
      <w:r>
        <w:rPr>
          <w:sz w:val="24"/>
        </w:rPr>
        <w:t>Associate Professor of Finance, Stanford University, Graduate School of Business, September 2002 – June 2005.</w:t>
      </w:r>
    </w:p>
    <w:p w14:paraId="32A650F6" w14:textId="77777777" w:rsidR="009A53D5" w:rsidRPr="009A53D5" w:rsidRDefault="009A53D5" w:rsidP="009A53D5">
      <w:pPr>
        <w:ind w:left="1350" w:hanging="630"/>
        <w:rPr>
          <w:rFonts w:hint="eastAsia"/>
          <w:sz w:val="12"/>
          <w:szCs w:val="12"/>
          <w:lang w:eastAsia="zh-CN"/>
        </w:rPr>
      </w:pPr>
    </w:p>
    <w:p w14:paraId="317CB5F9" w14:textId="77777777" w:rsidR="009A53D5" w:rsidRDefault="009A53D5" w:rsidP="009A53D5">
      <w:pPr>
        <w:ind w:left="1350" w:hanging="630"/>
        <w:rPr>
          <w:sz w:val="24"/>
        </w:rPr>
      </w:pPr>
      <w:r>
        <w:rPr>
          <w:sz w:val="24"/>
        </w:rPr>
        <w:t>Associate Dean and Visiting Professor of Finance</w:t>
      </w:r>
      <w:r>
        <w:rPr>
          <w:rFonts w:hint="eastAsia"/>
          <w:sz w:val="24"/>
          <w:lang w:eastAsia="zh-CN"/>
        </w:rPr>
        <w:t xml:space="preserve"> (while on leave from Stanford University)</w:t>
      </w:r>
      <w:r>
        <w:rPr>
          <w:sz w:val="24"/>
        </w:rPr>
        <w:t>, Cheung Kong Graduate School of Business, Beijing, China, July 2004 – June 2005.</w:t>
      </w:r>
    </w:p>
    <w:p w14:paraId="185DEBAC" w14:textId="77777777" w:rsidR="009A53D5" w:rsidRPr="00F171E8" w:rsidRDefault="009A53D5" w:rsidP="009A53D5">
      <w:pPr>
        <w:rPr>
          <w:sz w:val="12"/>
          <w:szCs w:val="12"/>
        </w:rPr>
      </w:pPr>
    </w:p>
    <w:p w14:paraId="6626F3A2" w14:textId="77777777" w:rsidR="00AD6F95" w:rsidRDefault="003D42A9" w:rsidP="009A53D5">
      <w:pPr>
        <w:ind w:firstLine="720"/>
        <w:rPr>
          <w:rFonts w:hint="eastAsia"/>
          <w:sz w:val="24"/>
          <w:lang w:eastAsia="zh-CN"/>
        </w:rPr>
      </w:pPr>
      <w:r w:rsidRPr="003D42A9">
        <w:rPr>
          <w:sz w:val="24"/>
          <w:szCs w:val="24"/>
          <w:lang w:eastAsia="zh-CN"/>
        </w:rPr>
        <w:t>Professor</w:t>
      </w:r>
      <w:r>
        <w:rPr>
          <w:rFonts w:hint="eastAsia"/>
          <w:sz w:val="24"/>
          <w:lang w:eastAsia="zh-CN"/>
        </w:rPr>
        <w:t xml:space="preserve"> of Finance</w:t>
      </w:r>
      <w:r w:rsidR="00F11B0B">
        <w:rPr>
          <w:rFonts w:hint="eastAsia"/>
          <w:sz w:val="24"/>
          <w:lang w:eastAsia="zh-CN"/>
        </w:rPr>
        <w:t xml:space="preserve"> (joint</w:t>
      </w:r>
      <w:r w:rsidR="009A53D5">
        <w:rPr>
          <w:rFonts w:hint="eastAsia"/>
          <w:sz w:val="24"/>
          <w:lang w:eastAsia="zh-CN"/>
        </w:rPr>
        <w:t xml:space="preserve"> appointment</w:t>
      </w:r>
      <w:r w:rsidR="00F11B0B">
        <w:rPr>
          <w:rFonts w:hint="eastAsia"/>
          <w:sz w:val="24"/>
          <w:lang w:eastAsia="zh-CN"/>
        </w:rPr>
        <w:t>)</w:t>
      </w:r>
      <w:r>
        <w:rPr>
          <w:rFonts w:hint="eastAsia"/>
          <w:sz w:val="24"/>
          <w:lang w:eastAsia="zh-CN"/>
        </w:rPr>
        <w:t>, Cheung Kong G</w:t>
      </w:r>
      <w:r w:rsidR="00AD6F95">
        <w:rPr>
          <w:rFonts w:hint="eastAsia"/>
          <w:sz w:val="24"/>
          <w:lang w:eastAsia="zh-CN"/>
        </w:rPr>
        <w:t xml:space="preserve">raduate School of </w:t>
      </w:r>
    </w:p>
    <w:p w14:paraId="7F5D78FF" w14:textId="77777777" w:rsidR="003D42A9" w:rsidRDefault="009A53D5" w:rsidP="00AD6F95">
      <w:pPr>
        <w:ind w:left="630" w:firstLine="720"/>
        <w:rPr>
          <w:rFonts w:hint="eastAsia"/>
          <w:sz w:val="24"/>
          <w:lang w:eastAsia="zh-CN"/>
        </w:rPr>
      </w:pPr>
      <w:proofErr w:type="gramStart"/>
      <w:r>
        <w:rPr>
          <w:rFonts w:hint="eastAsia"/>
          <w:sz w:val="24"/>
          <w:lang w:eastAsia="zh-CN"/>
        </w:rPr>
        <w:t xml:space="preserve">Business,  </w:t>
      </w:r>
      <w:r w:rsidR="003D42A9">
        <w:rPr>
          <w:rFonts w:hint="eastAsia"/>
          <w:sz w:val="24"/>
          <w:lang w:eastAsia="zh-CN"/>
        </w:rPr>
        <w:t>July</w:t>
      </w:r>
      <w:proofErr w:type="gramEnd"/>
      <w:r w:rsidR="003D42A9">
        <w:rPr>
          <w:rFonts w:hint="eastAsia"/>
          <w:sz w:val="24"/>
          <w:lang w:eastAsia="zh-CN"/>
        </w:rPr>
        <w:t xml:space="preserve"> 2008 </w:t>
      </w:r>
      <w:r w:rsidR="003D42A9">
        <w:rPr>
          <w:sz w:val="24"/>
          <w:lang w:eastAsia="zh-CN"/>
        </w:rPr>
        <w:t>–</w:t>
      </w:r>
      <w:r w:rsidR="003D42A9">
        <w:rPr>
          <w:rFonts w:hint="eastAsia"/>
          <w:sz w:val="24"/>
          <w:lang w:eastAsia="zh-CN"/>
        </w:rPr>
        <w:t xml:space="preserve"> June 2010.</w:t>
      </w:r>
    </w:p>
    <w:p w14:paraId="3FF7C519" w14:textId="77777777" w:rsidR="003D42A9" w:rsidRPr="003D42A9" w:rsidRDefault="003D42A9" w:rsidP="00AD6F95">
      <w:pPr>
        <w:rPr>
          <w:rFonts w:hint="eastAsia"/>
          <w:sz w:val="12"/>
          <w:szCs w:val="12"/>
          <w:lang w:eastAsia="zh-CN"/>
        </w:rPr>
      </w:pPr>
    </w:p>
    <w:p w14:paraId="1F5130AB" w14:textId="77777777" w:rsidR="00F171E8" w:rsidRDefault="00F171E8" w:rsidP="009A53D5">
      <w:pPr>
        <w:ind w:left="1350" w:hanging="630"/>
        <w:rPr>
          <w:sz w:val="24"/>
        </w:rPr>
      </w:pPr>
      <w:r>
        <w:rPr>
          <w:sz w:val="24"/>
        </w:rPr>
        <w:t>Dean, School of Finance, Shanghai U</w:t>
      </w:r>
      <w:r>
        <w:rPr>
          <w:rFonts w:hint="eastAsia"/>
          <w:sz w:val="24"/>
          <w:lang w:eastAsia="zh-CN"/>
        </w:rPr>
        <w:t>.</w:t>
      </w:r>
      <w:r>
        <w:rPr>
          <w:sz w:val="24"/>
        </w:rPr>
        <w:t xml:space="preserve"> of Finance</w:t>
      </w:r>
      <w:r w:rsidR="009A53D5">
        <w:rPr>
          <w:sz w:val="24"/>
        </w:rPr>
        <w:t xml:space="preserve"> and Economics</w:t>
      </w:r>
      <w:r w:rsidR="009A53D5">
        <w:rPr>
          <w:rFonts w:hint="eastAsia"/>
          <w:sz w:val="24"/>
          <w:lang w:eastAsia="zh-CN"/>
        </w:rPr>
        <w:t xml:space="preserve"> (joint appointment), </w:t>
      </w:r>
      <w:r>
        <w:rPr>
          <w:sz w:val="24"/>
        </w:rPr>
        <w:t>Apr</w:t>
      </w:r>
      <w:r>
        <w:rPr>
          <w:rFonts w:hint="eastAsia"/>
          <w:sz w:val="24"/>
          <w:lang w:eastAsia="zh-CN"/>
        </w:rPr>
        <w:t>.</w:t>
      </w:r>
      <w:r>
        <w:rPr>
          <w:sz w:val="24"/>
        </w:rPr>
        <w:t xml:space="preserve"> 2006 – </w:t>
      </w:r>
      <w:r>
        <w:rPr>
          <w:rFonts w:hint="eastAsia"/>
          <w:sz w:val="24"/>
          <w:lang w:eastAsia="zh-CN"/>
        </w:rPr>
        <w:t>Apr. 2009</w:t>
      </w:r>
      <w:r>
        <w:rPr>
          <w:sz w:val="24"/>
        </w:rPr>
        <w:t>.</w:t>
      </w:r>
    </w:p>
    <w:p w14:paraId="08C4C8C5" w14:textId="77777777" w:rsidR="00DA417C" w:rsidRDefault="00DA417C" w:rsidP="009A53D5">
      <w:pPr>
        <w:ind w:left="1350" w:hanging="630"/>
        <w:rPr>
          <w:sz w:val="24"/>
        </w:rPr>
      </w:pPr>
    </w:p>
    <w:p w14:paraId="0056ED56" w14:textId="77777777" w:rsidR="00DA417C" w:rsidRDefault="00DA417C" w:rsidP="009A53D5">
      <w:pPr>
        <w:ind w:left="1350" w:hanging="630"/>
        <w:rPr>
          <w:rFonts w:hint="eastAsia"/>
          <w:sz w:val="24"/>
          <w:lang w:eastAsia="zh-CN"/>
        </w:rPr>
      </w:pPr>
      <w:r>
        <w:rPr>
          <w:sz w:val="24"/>
          <w:lang w:eastAsia="zh-CN"/>
        </w:rPr>
        <w:t>Professor of Finance (joint appointment), China-Europe International Business School, January 2010 – June 2019.</w:t>
      </w:r>
    </w:p>
    <w:p w14:paraId="21DB9F76" w14:textId="77777777" w:rsidR="00F171E8" w:rsidRPr="00F171E8" w:rsidRDefault="00F171E8" w:rsidP="00AD6F95">
      <w:pPr>
        <w:rPr>
          <w:sz w:val="12"/>
          <w:szCs w:val="12"/>
        </w:rPr>
      </w:pPr>
    </w:p>
    <w:p w14:paraId="01813396" w14:textId="77777777" w:rsidR="00F171E8" w:rsidRPr="009A53D5" w:rsidRDefault="00F171E8" w:rsidP="00AD6F95">
      <w:pPr>
        <w:rPr>
          <w:sz w:val="32"/>
          <w:szCs w:val="32"/>
        </w:rPr>
      </w:pPr>
    </w:p>
    <w:p w14:paraId="54A4A874" w14:textId="77777777" w:rsidR="00F24AAF" w:rsidRDefault="00444B00" w:rsidP="00F24AAF">
      <w:pPr>
        <w:rPr>
          <w:rFonts w:hint="eastAsia"/>
          <w:b/>
          <w:sz w:val="24"/>
          <w:u w:val="single"/>
          <w:lang w:eastAsia="zh-CN"/>
        </w:rPr>
      </w:pPr>
      <w:r>
        <w:rPr>
          <w:rFonts w:hint="eastAsia"/>
          <w:b/>
          <w:sz w:val="24"/>
          <w:u w:val="single"/>
          <w:lang w:eastAsia="zh-CN"/>
        </w:rPr>
        <w:t>PROFESSIONAL</w:t>
      </w:r>
      <w:r w:rsidR="006665DA">
        <w:rPr>
          <w:b/>
          <w:sz w:val="24"/>
          <w:u w:val="single"/>
        </w:rPr>
        <w:t xml:space="preserve"> ACTIVIT</w:t>
      </w:r>
      <w:r w:rsidR="006665DA">
        <w:rPr>
          <w:rFonts w:hint="eastAsia"/>
          <w:b/>
          <w:sz w:val="24"/>
          <w:u w:val="single"/>
          <w:lang w:eastAsia="zh-CN"/>
        </w:rPr>
        <w:t>Y</w:t>
      </w:r>
    </w:p>
    <w:p w14:paraId="4BDF555D" w14:textId="77777777" w:rsidR="00CA7349" w:rsidRPr="00F171E8" w:rsidRDefault="00CA7349">
      <w:pPr>
        <w:rPr>
          <w:sz w:val="18"/>
          <w:szCs w:val="18"/>
        </w:rPr>
      </w:pPr>
    </w:p>
    <w:p w14:paraId="51DAB351" w14:textId="77777777" w:rsidR="00F24AAF" w:rsidRDefault="00F24AAF" w:rsidP="00AD6F95">
      <w:pPr>
        <w:ind w:firstLine="720"/>
        <w:rPr>
          <w:rFonts w:hint="eastAsia"/>
          <w:sz w:val="24"/>
          <w:szCs w:val="24"/>
          <w:lang w:eastAsia="zh-CN"/>
        </w:rPr>
      </w:pPr>
      <w:r w:rsidRPr="00F24AAF">
        <w:rPr>
          <w:sz w:val="24"/>
          <w:szCs w:val="24"/>
        </w:rPr>
        <w:t>Associate Editor</w:t>
      </w:r>
      <w:r>
        <w:rPr>
          <w:sz w:val="24"/>
          <w:szCs w:val="24"/>
        </w:rPr>
        <w:t xml:space="preserve">: </w:t>
      </w:r>
      <w:r w:rsidRPr="00F24AAF">
        <w:rPr>
          <w:sz w:val="24"/>
          <w:szCs w:val="24"/>
        </w:rPr>
        <w:t>The</w:t>
      </w:r>
      <w:r w:rsidRPr="00F24AAF">
        <w:rPr>
          <w:i/>
          <w:iCs/>
          <w:sz w:val="24"/>
          <w:szCs w:val="24"/>
        </w:rPr>
        <w:t xml:space="preserve"> American Economic Review</w:t>
      </w:r>
      <w:r>
        <w:rPr>
          <w:sz w:val="24"/>
          <w:szCs w:val="24"/>
        </w:rPr>
        <w:t xml:space="preserve">, January 2006 – </w:t>
      </w:r>
      <w:r w:rsidR="003D42A9">
        <w:rPr>
          <w:rFonts w:hint="eastAsia"/>
          <w:sz w:val="24"/>
          <w:szCs w:val="24"/>
          <w:lang w:eastAsia="zh-CN"/>
        </w:rPr>
        <w:t>April 2011.</w:t>
      </w:r>
    </w:p>
    <w:p w14:paraId="4E1DFECB" w14:textId="77777777" w:rsidR="00F24AAF" w:rsidRPr="00F171E8" w:rsidRDefault="00F24AAF">
      <w:pPr>
        <w:rPr>
          <w:rFonts w:hint="eastAsia"/>
          <w:sz w:val="22"/>
          <w:szCs w:val="22"/>
          <w:lang w:eastAsia="zh-CN"/>
        </w:rPr>
      </w:pPr>
    </w:p>
    <w:p w14:paraId="6FC49FD0" w14:textId="77777777" w:rsidR="00AD6F95" w:rsidRDefault="00F11B0B" w:rsidP="00AD6F95">
      <w:pPr>
        <w:rPr>
          <w:b/>
          <w:sz w:val="24"/>
          <w:u w:val="single"/>
        </w:rPr>
      </w:pPr>
      <w:r>
        <w:rPr>
          <w:b/>
          <w:sz w:val="24"/>
          <w:u w:val="single"/>
        </w:rPr>
        <w:br w:type="page"/>
      </w:r>
      <w:r w:rsidR="00AD6F95">
        <w:rPr>
          <w:b/>
          <w:sz w:val="24"/>
          <w:u w:val="single"/>
        </w:rPr>
        <w:lastRenderedPageBreak/>
        <w:t>PROFESSIONAL HONORS AND AWARDS</w:t>
      </w:r>
    </w:p>
    <w:p w14:paraId="6533E83E" w14:textId="77777777" w:rsidR="00AD6F95" w:rsidRPr="00486049" w:rsidRDefault="00AD6F95" w:rsidP="00AD6F95">
      <w:pPr>
        <w:rPr>
          <w:sz w:val="24"/>
          <w:szCs w:val="24"/>
        </w:rPr>
      </w:pPr>
    </w:p>
    <w:p w14:paraId="13619221" w14:textId="77777777" w:rsidR="00486049" w:rsidRDefault="00486049" w:rsidP="00AD6F95">
      <w:pPr>
        <w:ind w:left="1350" w:hanging="630"/>
        <w:jc w:val="both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Received the Cornell-Tsinghua Dual MBA Class 2017 Best Teaching Award</w:t>
      </w:r>
      <w:r w:rsidR="00052CAA">
        <w:rPr>
          <w:sz w:val="24"/>
          <w:lang w:eastAsia="zh-CN"/>
        </w:rPr>
        <w:t>, Class 2018 Gravitas Award, and Class 2019</w:t>
      </w:r>
      <w:r w:rsidR="008332B9">
        <w:rPr>
          <w:sz w:val="24"/>
          <w:lang w:eastAsia="zh-CN"/>
        </w:rPr>
        <w:t>-2020</w:t>
      </w:r>
      <w:r w:rsidR="00052CAA">
        <w:rPr>
          <w:sz w:val="24"/>
          <w:lang w:eastAsia="zh-CN"/>
        </w:rPr>
        <w:t xml:space="preserve"> Star Professor Award</w:t>
      </w:r>
      <w:r>
        <w:rPr>
          <w:rFonts w:hint="eastAsia"/>
          <w:sz w:val="24"/>
          <w:lang w:eastAsia="zh-CN"/>
        </w:rPr>
        <w:t xml:space="preserve"> </w:t>
      </w:r>
    </w:p>
    <w:p w14:paraId="212FBC47" w14:textId="77777777" w:rsidR="00486049" w:rsidRPr="00486049" w:rsidRDefault="00486049" w:rsidP="00AD6F95">
      <w:pPr>
        <w:ind w:left="1350" w:hanging="630"/>
        <w:jc w:val="both"/>
        <w:rPr>
          <w:rFonts w:hint="eastAsia"/>
          <w:sz w:val="16"/>
          <w:szCs w:val="16"/>
          <w:lang w:eastAsia="zh-CN"/>
        </w:rPr>
      </w:pPr>
    </w:p>
    <w:p w14:paraId="3F56C3CA" w14:textId="77777777" w:rsidR="00AD6F95" w:rsidRDefault="009A53D5" w:rsidP="00AD6F95">
      <w:pPr>
        <w:ind w:left="1350" w:hanging="630"/>
        <w:jc w:val="both"/>
        <w:rPr>
          <w:sz w:val="24"/>
        </w:rPr>
      </w:pPr>
      <w:r>
        <w:rPr>
          <w:rFonts w:hint="eastAsia"/>
          <w:sz w:val="24"/>
          <w:lang w:eastAsia="zh-CN"/>
        </w:rPr>
        <w:t>Received</w:t>
      </w:r>
      <w:r w:rsidR="00AD6F95">
        <w:rPr>
          <w:sz w:val="24"/>
        </w:rPr>
        <w:t xml:space="preserve"> the 2000 FAME Research Prize (for the paper “Prospect Theory and Asset Pricing”) by the International Center for Asset Management and Financial Engineering.”  </w:t>
      </w:r>
    </w:p>
    <w:p w14:paraId="7EA1E79B" w14:textId="77777777" w:rsidR="00AD6F95" w:rsidRPr="00F171E8" w:rsidRDefault="00AD6F95" w:rsidP="00AD6F95">
      <w:pPr>
        <w:jc w:val="both"/>
        <w:rPr>
          <w:sz w:val="12"/>
          <w:szCs w:val="12"/>
        </w:rPr>
      </w:pPr>
    </w:p>
    <w:p w14:paraId="243F3399" w14:textId="77777777" w:rsidR="00AD6F95" w:rsidRDefault="00AD6F95" w:rsidP="00AD6F95">
      <w:pPr>
        <w:ind w:firstLine="720"/>
        <w:jc w:val="both"/>
        <w:rPr>
          <w:sz w:val="24"/>
        </w:rPr>
      </w:pPr>
      <w:proofErr w:type="gramStart"/>
      <w:r>
        <w:rPr>
          <w:sz w:val="24"/>
        </w:rPr>
        <w:t>Received</w:t>
      </w:r>
      <w:proofErr w:type="gramEnd"/>
      <w:r>
        <w:rPr>
          <w:sz w:val="24"/>
        </w:rPr>
        <w:t xml:space="preserve"> the 2001 Stanford Business School Distinguished Teaching Award.</w:t>
      </w:r>
    </w:p>
    <w:p w14:paraId="27AB4C06" w14:textId="77777777" w:rsidR="00AD6F95" w:rsidRPr="00F171E8" w:rsidRDefault="00AD6F95" w:rsidP="00AD6F95">
      <w:pPr>
        <w:jc w:val="both"/>
        <w:rPr>
          <w:sz w:val="12"/>
          <w:szCs w:val="12"/>
        </w:rPr>
      </w:pPr>
    </w:p>
    <w:p w14:paraId="71905B0B" w14:textId="77777777" w:rsidR="00AD6F95" w:rsidRDefault="00AD6F95" w:rsidP="00AD6F95">
      <w:pPr>
        <w:ind w:left="1350" w:hanging="630"/>
        <w:jc w:val="both"/>
        <w:rPr>
          <w:sz w:val="24"/>
        </w:rPr>
      </w:pPr>
      <w:proofErr w:type="gramStart"/>
      <w:r>
        <w:rPr>
          <w:sz w:val="24"/>
        </w:rPr>
        <w:t>Received</w:t>
      </w:r>
      <w:proofErr w:type="gramEnd"/>
      <w:r>
        <w:rPr>
          <w:sz w:val="24"/>
        </w:rPr>
        <w:t xml:space="preserve"> the 1997 Emory Williams Award for Excellence in Teaching, </w:t>
      </w:r>
      <w:smartTag w:uri="urn:schemas-microsoft-com:office:smarttags" w:element="PlaceName">
        <w:r>
          <w:rPr>
            <w:sz w:val="24"/>
          </w:rPr>
          <w:t>Graduate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School</w:t>
        </w:r>
      </w:smartTag>
      <w:r>
        <w:rPr>
          <w:sz w:val="24"/>
        </w:rPr>
        <w:t xml:space="preserve"> of Business,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University</w:t>
          </w:r>
        </w:smartTag>
        <w:r>
          <w:rPr>
            <w:sz w:val="24"/>
          </w:rPr>
          <w:t xml:space="preserve"> of </w:t>
        </w:r>
        <w:smartTag w:uri="urn:schemas-microsoft-com:office:smarttags" w:element="PlaceName">
          <w:r>
            <w:rPr>
              <w:sz w:val="24"/>
            </w:rPr>
            <w:t>Chicago</w:t>
          </w:r>
        </w:smartTag>
      </w:smartTag>
      <w:r>
        <w:rPr>
          <w:sz w:val="24"/>
        </w:rPr>
        <w:t>.</w:t>
      </w:r>
    </w:p>
    <w:p w14:paraId="4A019F2B" w14:textId="77777777" w:rsidR="00AD6F95" w:rsidRDefault="00AD6F95" w:rsidP="00AD6F95">
      <w:pPr>
        <w:rPr>
          <w:b/>
          <w:sz w:val="32"/>
          <w:szCs w:val="32"/>
          <w:u w:val="single"/>
        </w:rPr>
      </w:pPr>
    </w:p>
    <w:p w14:paraId="3B441D4C" w14:textId="77777777" w:rsidR="00461359" w:rsidRPr="00461359" w:rsidRDefault="00461359" w:rsidP="00AD6F95">
      <w:pPr>
        <w:rPr>
          <w:b/>
          <w:sz w:val="11"/>
          <w:szCs w:val="11"/>
          <w:u w:val="single"/>
        </w:rPr>
      </w:pPr>
    </w:p>
    <w:p w14:paraId="3F24BCEF" w14:textId="77777777" w:rsidR="00444B00" w:rsidRDefault="00461359">
      <w:pPr>
        <w:rPr>
          <w:rFonts w:hint="eastAsia"/>
          <w:b/>
          <w:sz w:val="24"/>
          <w:u w:val="single"/>
          <w:lang w:eastAsia="zh-CN"/>
        </w:rPr>
      </w:pPr>
      <w:r>
        <w:rPr>
          <w:b/>
          <w:sz w:val="24"/>
          <w:u w:val="single"/>
          <w:lang w:eastAsia="zh-CN"/>
        </w:rPr>
        <w:t>PUBLIC COMPANY</w:t>
      </w:r>
      <w:r w:rsidR="003D36B1">
        <w:rPr>
          <w:rFonts w:hint="eastAsia"/>
          <w:b/>
          <w:sz w:val="24"/>
          <w:u w:val="single"/>
          <w:lang w:eastAsia="zh-CN"/>
        </w:rPr>
        <w:t xml:space="preserve"> </w:t>
      </w:r>
      <w:r w:rsidR="00444B00">
        <w:rPr>
          <w:rFonts w:hint="eastAsia"/>
          <w:b/>
          <w:sz w:val="24"/>
          <w:u w:val="single"/>
          <w:lang w:eastAsia="zh-CN"/>
        </w:rPr>
        <w:t>BOARD MEMBERSHIP</w:t>
      </w:r>
    </w:p>
    <w:p w14:paraId="7F70EBDF" w14:textId="77777777" w:rsidR="00461359" w:rsidRDefault="00461359" w:rsidP="00D25546">
      <w:pPr>
        <w:pStyle w:val="Answer"/>
        <w:spacing w:after="0"/>
        <w:ind w:left="1350" w:hanging="630"/>
        <w:rPr>
          <w:rFonts w:hint="eastAsia"/>
          <w:color w:val="000000"/>
          <w:lang w:eastAsia="zh-CN"/>
        </w:rPr>
      </w:pPr>
    </w:p>
    <w:p w14:paraId="2A15BC0E" w14:textId="77777777" w:rsidR="00165DB5" w:rsidRDefault="00165DB5" w:rsidP="00165DB5">
      <w:pPr>
        <w:pStyle w:val="Answer"/>
        <w:spacing w:after="0"/>
        <w:ind w:left="0" w:firstLine="720"/>
        <w:rPr>
          <w:rFonts w:hint="eastAsia"/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t>JD.com, Inc. (NASDAQ: JD), Audit Committee, March 2014</w:t>
      </w:r>
      <w:r>
        <w:rPr>
          <w:color w:val="000000"/>
          <w:lang w:eastAsia="zh-CN"/>
        </w:rPr>
        <w:t xml:space="preserve"> –</w:t>
      </w:r>
      <w:r>
        <w:rPr>
          <w:rFonts w:hint="eastAsia"/>
          <w:color w:val="000000"/>
          <w:lang w:eastAsia="zh-CN"/>
        </w:rPr>
        <w:t xml:space="preserve"> present</w:t>
      </w:r>
    </w:p>
    <w:p w14:paraId="1EDC2A3F" w14:textId="77777777" w:rsidR="00165DB5" w:rsidRDefault="00165DB5" w:rsidP="00165DB5">
      <w:pPr>
        <w:pStyle w:val="Answer"/>
        <w:spacing w:after="0"/>
        <w:ind w:left="0" w:firstLine="720"/>
        <w:rPr>
          <w:rFonts w:hint="eastAsia"/>
          <w:color w:val="000000"/>
          <w:lang w:eastAsia="zh-CN"/>
        </w:rPr>
      </w:pPr>
    </w:p>
    <w:p w14:paraId="7F4D7F76" w14:textId="77777777" w:rsidR="00D25546" w:rsidRDefault="00D25546" w:rsidP="00AD6F95">
      <w:pPr>
        <w:pStyle w:val="Answer"/>
        <w:spacing w:after="0"/>
        <w:ind w:left="0" w:firstLine="720"/>
        <w:rPr>
          <w:rFonts w:hint="eastAsia"/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t>WH Group Limited (HKEx: 00288), C</w:t>
      </w:r>
      <w:r w:rsidRPr="008B355C">
        <w:rPr>
          <w:color w:val="000000"/>
        </w:rPr>
        <w:t xml:space="preserve">hairman of the </w:t>
      </w:r>
      <w:r>
        <w:rPr>
          <w:rFonts w:hint="eastAsia"/>
          <w:color w:val="000000"/>
          <w:lang w:eastAsia="zh-CN"/>
        </w:rPr>
        <w:t>R</w:t>
      </w:r>
      <w:r w:rsidRPr="008B355C">
        <w:rPr>
          <w:color w:val="000000"/>
        </w:rPr>
        <w:t xml:space="preserve">emuneration </w:t>
      </w:r>
      <w:r>
        <w:rPr>
          <w:rFonts w:hint="eastAsia"/>
          <w:color w:val="000000"/>
          <w:lang w:eastAsia="zh-CN"/>
        </w:rPr>
        <w:t>C</w:t>
      </w:r>
      <w:r w:rsidRPr="008B355C">
        <w:rPr>
          <w:color w:val="000000"/>
        </w:rPr>
        <w:t>ommittee</w:t>
      </w:r>
      <w:r>
        <w:rPr>
          <w:rFonts w:hint="eastAsia"/>
          <w:color w:val="000000"/>
          <w:lang w:eastAsia="zh-CN"/>
        </w:rPr>
        <w:t xml:space="preserve">, </w:t>
      </w:r>
    </w:p>
    <w:p w14:paraId="5B1FC422" w14:textId="77777777" w:rsidR="00461359" w:rsidRDefault="00D25546" w:rsidP="00461359">
      <w:pPr>
        <w:pStyle w:val="Answer"/>
        <w:spacing w:after="0"/>
        <w:ind w:left="720" w:firstLine="720"/>
        <w:rPr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t>Audit Committee, March 2014</w:t>
      </w:r>
      <w:r w:rsidR="00165DB5">
        <w:rPr>
          <w:color w:val="000000"/>
          <w:lang w:eastAsia="zh-CN"/>
        </w:rPr>
        <w:t xml:space="preserve"> –</w:t>
      </w:r>
      <w:r>
        <w:rPr>
          <w:rFonts w:hint="eastAsia"/>
          <w:color w:val="000000"/>
          <w:lang w:eastAsia="zh-CN"/>
        </w:rPr>
        <w:t xml:space="preserve"> present</w:t>
      </w:r>
    </w:p>
    <w:p w14:paraId="6CB42657" w14:textId="77777777" w:rsidR="00FF45A1" w:rsidRDefault="00FF45A1" w:rsidP="00461359">
      <w:pPr>
        <w:pStyle w:val="Answer"/>
        <w:spacing w:after="0"/>
        <w:ind w:left="720" w:firstLine="720"/>
        <w:rPr>
          <w:rFonts w:hint="eastAsia"/>
          <w:color w:val="000000"/>
          <w:lang w:eastAsia="zh-CN"/>
        </w:rPr>
      </w:pPr>
    </w:p>
    <w:p w14:paraId="562FB737" w14:textId="77777777" w:rsidR="00241568" w:rsidRDefault="00241568" w:rsidP="00EE69A8">
      <w:pPr>
        <w:jc w:val="both"/>
        <w:rPr>
          <w:b/>
          <w:sz w:val="24"/>
          <w:u w:val="single"/>
        </w:rPr>
      </w:pPr>
    </w:p>
    <w:p w14:paraId="7F948A20" w14:textId="77777777" w:rsidR="00EE69A8" w:rsidRPr="007C239C" w:rsidRDefault="00EE69A8" w:rsidP="00EE69A8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PUBLICATIONS</w:t>
      </w:r>
    </w:p>
    <w:p w14:paraId="0083E2F8" w14:textId="77777777" w:rsidR="00EE69A8" w:rsidRDefault="00EE69A8" w:rsidP="00EE69A8">
      <w:pPr>
        <w:jc w:val="both"/>
        <w:rPr>
          <w:sz w:val="21"/>
        </w:rPr>
      </w:pPr>
    </w:p>
    <w:p w14:paraId="5EA6E297" w14:textId="77777777" w:rsidR="00EE69A8" w:rsidRDefault="00EE69A8" w:rsidP="00EE69A8">
      <w:pPr>
        <w:ind w:left="1440" w:hanging="720"/>
        <w:jc w:val="both"/>
        <w:rPr>
          <w:sz w:val="24"/>
        </w:rPr>
      </w:pPr>
      <w:r>
        <w:rPr>
          <w:sz w:val="24"/>
        </w:rPr>
        <w:t xml:space="preserve">“Swap Rates and Credit Quality,” with Darrell Duffie, </w:t>
      </w:r>
      <w:r>
        <w:rPr>
          <w:i/>
          <w:sz w:val="24"/>
        </w:rPr>
        <w:t>Journal of Finance</w:t>
      </w:r>
      <w:r>
        <w:rPr>
          <w:sz w:val="24"/>
        </w:rPr>
        <w:t xml:space="preserve"> 51, pp 921-949, July 1996.</w:t>
      </w:r>
    </w:p>
    <w:p w14:paraId="434F91EC" w14:textId="77777777" w:rsidR="00EE69A8" w:rsidRDefault="00EE69A8" w:rsidP="00EE69A8">
      <w:pPr>
        <w:jc w:val="both"/>
        <w:rPr>
          <w:sz w:val="16"/>
        </w:rPr>
      </w:pPr>
    </w:p>
    <w:p w14:paraId="5E9DF295" w14:textId="77777777" w:rsidR="00EE69A8" w:rsidRDefault="00EE69A8" w:rsidP="00EE69A8">
      <w:pPr>
        <w:ind w:left="1440" w:hanging="720"/>
        <w:jc w:val="both"/>
        <w:rPr>
          <w:sz w:val="24"/>
        </w:rPr>
      </w:pPr>
      <w:r>
        <w:rPr>
          <w:sz w:val="24"/>
        </w:rPr>
        <w:t xml:space="preserve">“Toeholds and Takeovers,” with Jeremy Bulow and Paul Klemperer, </w:t>
      </w:r>
      <w:r>
        <w:rPr>
          <w:i/>
          <w:sz w:val="24"/>
        </w:rPr>
        <w:t xml:space="preserve">Journal </w:t>
      </w:r>
      <w:proofErr w:type="gramStart"/>
      <w:r>
        <w:rPr>
          <w:i/>
          <w:sz w:val="24"/>
        </w:rPr>
        <w:t xml:space="preserve">of </w:t>
      </w:r>
      <w:r>
        <w:rPr>
          <w:rFonts w:hint="eastAsia"/>
          <w:i/>
          <w:sz w:val="24"/>
          <w:lang w:eastAsia="zh-CN"/>
        </w:rPr>
        <w:t xml:space="preserve"> </w:t>
      </w:r>
      <w:r>
        <w:rPr>
          <w:i/>
          <w:sz w:val="24"/>
        </w:rPr>
        <w:t>Political</w:t>
      </w:r>
      <w:proofErr w:type="gramEnd"/>
      <w:r>
        <w:rPr>
          <w:i/>
          <w:sz w:val="24"/>
        </w:rPr>
        <w:t xml:space="preserve"> Economy</w:t>
      </w:r>
      <w:r>
        <w:rPr>
          <w:sz w:val="24"/>
        </w:rPr>
        <w:t xml:space="preserve"> 107, pp 427-454, June 1999</w:t>
      </w:r>
      <w:r w:rsidR="00214477" w:rsidRPr="00214477">
        <w:t xml:space="preserve"> </w:t>
      </w:r>
      <w:r w:rsidR="00214477" w:rsidRPr="00214477">
        <w:rPr>
          <w:sz w:val="24"/>
          <w:szCs w:val="24"/>
        </w:rPr>
        <w:t>(reprinted in New Research in Corporate Finance and Banking, B. Biais and M. Pagano (eds.) 2002).</w:t>
      </w:r>
    </w:p>
    <w:p w14:paraId="6C7034E3" w14:textId="77777777" w:rsidR="00EE69A8" w:rsidRDefault="00EE69A8" w:rsidP="00EE69A8">
      <w:pPr>
        <w:jc w:val="both"/>
        <w:rPr>
          <w:sz w:val="16"/>
        </w:rPr>
      </w:pPr>
    </w:p>
    <w:p w14:paraId="27A9E4D9" w14:textId="77777777" w:rsidR="00EE69A8" w:rsidRDefault="00EE69A8" w:rsidP="00EE69A8">
      <w:pPr>
        <w:ind w:left="1440" w:hanging="720"/>
        <w:rPr>
          <w:sz w:val="24"/>
        </w:rPr>
      </w:pPr>
      <w:r>
        <w:rPr>
          <w:sz w:val="24"/>
        </w:rPr>
        <w:t xml:space="preserve">“Prospect Theory and Asset Prices,” with Nicholas Barberis and Tano Santos, </w:t>
      </w:r>
      <w:r>
        <w:rPr>
          <w:i/>
          <w:sz w:val="24"/>
        </w:rPr>
        <w:t>Quarterly Journal of Economics</w:t>
      </w:r>
      <w:r>
        <w:rPr>
          <w:sz w:val="24"/>
        </w:rPr>
        <w:t xml:space="preserve"> 116, pp 1-53, February 2001. (Lead article of the issue; Awarded the 2000 FAME Research Prize; Collected into </w:t>
      </w:r>
      <w:r>
        <w:rPr>
          <w:i/>
          <w:sz w:val="24"/>
        </w:rPr>
        <w:t>Advances in Behavioral Finance</w:t>
      </w:r>
      <w:r>
        <w:rPr>
          <w:sz w:val="24"/>
        </w:rPr>
        <w:t>, Vol. 2, edited by Richard Thaler.)</w:t>
      </w:r>
    </w:p>
    <w:p w14:paraId="3BBD2064" w14:textId="77777777" w:rsidR="00EE69A8" w:rsidRDefault="00EE69A8" w:rsidP="00EE69A8">
      <w:pPr>
        <w:jc w:val="both"/>
        <w:rPr>
          <w:sz w:val="16"/>
        </w:rPr>
      </w:pPr>
    </w:p>
    <w:p w14:paraId="619061B6" w14:textId="77777777" w:rsidR="00EE69A8" w:rsidRDefault="00EE69A8" w:rsidP="00EE69A8">
      <w:pPr>
        <w:ind w:left="1440" w:hanging="720"/>
        <w:jc w:val="both"/>
        <w:rPr>
          <w:sz w:val="24"/>
        </w:rPr>
      </w:pPr>
      <w:r>
        <w:rPr>
          <w:sz w:val="24"/>
        </w:rPr>
        <w:t xml:space="preserve">“Mental Accounting, Loss Aversion, and Individual Stock Returns,” with Nicholas Barberis, </w:t>
      </w:r>
      <w:r>
        <w:rPr>
          <w:i/>
          <w:sz w:val="24"/>
        </w:rPr>
        <w:t>Journal of Finance</w:t>
      </w:r>
      <w:r>
        <w:rPr>
          <w:sz w:val="24"/>
        </w:rPr>
        <w:t xml:space="preserve"> 56, pp 1247-1292, August 2001.</w:t>
      </w:r>
    </w:p>
    <w:p w14:paraId="7B016498" w14:textId="77777777" w:rsidR="00EE69A8" w:rsidRDefault="00EE69A8" w:rsidP="00EE69A8">
      <w:pPr>
        <w:jc w:val="both"/>
        <w:rPr>
          <w:sz w:val="16"/>
        </w:rPr>
      </w:pPr>
    </w:p>
    <w:p w14:paraId="7F7D277B" w14:textId="77777777" w:rsidR="00EE69A8" w:rsidRDefault="00EE69A8" w:rsidP="00EE69A8">
      <w:pPr>
        <w:ind w:left="1440" w:hanging="720"/>
        <w:jc w:val="both"/>
        <w:rPr>
          <w:sz w:val="24"/>
        </w:rPr>
      </w:pPr>
      <w:r>
        <w:rPr>
          <w:sz w:val="24"/>
        </w:rPr>
        <w:t xml:space="preserve">“Liquidity Shocks and Equilibrium Liquidity Premia,” </w:t>
      </w:r>
      <w:r>
        <w:rPr>
          <w:i/>
          <w:sz w:val="24"/>
        </w:rPr>
        <w:t>Journal of Economic Theory</w:t>
      </w:r>
      <w:r>
        <w:rPr>
          <w:sz w:val="24"/>
        </w:rPr>
        <w:t xml:space="preserve"> 109, pp 104-129, March 2003. </w:t>
      </w:r>
    </w:p>
    <w:p w14:paraId="7F609B15" w14:textId="77777777" w:rsidR="00EE69A8" w:rsidRDefault="00EE69A8" w:rsidP="00EE69A8">
      <w:pPr>
        <w:jc w:val="both"/>
        <w:rPr>
          <w:b/>
          <w:sz w:val="16"/>
          <w:u w:val="single"/>
        </w:rPr>
      </w:pPr>
    </w:p>
    <w:p w14:paraId="382A6925" w14:textId="77777777" w:rsidR="00EE69A8" w:rsidRDefault="00EE69A8" w:rsidP="00EE69A8">
      <w:pPr>
        <w:pStyle w:val="BodyText"/>
        <w:ind w:left="1440" w:hanging="720"/>
      </w:pPr>
      <w:r>
        <w:t xml:space="preserve">“Does Fund Size Erode Performance? Liquidity, Organizational Diseconomies and Active Money Management,” with Joseph Chen, Harrison Hong, and Jeffrey D. Kubik, </w:t>
      </w:r>
      <w:r>
        <w:rPr>
          <w:i/>
        </w:rPr>
        <w:t>American Economic Review</w:t>
      </w:r>
      <w:r>
        <w:t xml:space="preserve"> 94, pp 1276-1302, December 2004.</w:t>
      </w:r>
    </w:p>
    <w:p w14:paraId="4E10754D" w14:textId="77777777" w:rsidR="00EE69A8" w:rsidRDefault="00EE69A8" w:rsidP="00EE69A8">
      <w:pPr>
        <w:jc w:val="both"/>
        <w:rPr>
          <w:sz w:val="16"/>
        </w:rPr>
      </w:pPr>
    </w:p>
    <w:p w14:paraId="6870E20A" w14:textId="77777777" w:rsidR="00EE69A8" w:rsidRDefault="00EE69A8" w:rsidP="00EE69A8">
      <w:pPr>
        <w:ind w:left="1440" w:hanging="720"/>
        <w:jc w:val="both"/>
        <w:rPr>
          <w:sz w:val="24"/>
        </w:rPr>
      </w:pPr>
      <w:r>
        <w:rPr>
          <w:sz w:val="24"/>
        </w:rPr>
        <w:t xml:space="preserve"> “Talking up Liquidity: Insider Trading and Investor Relations,” with Harrison Hong, </w:t>
      </w:r>
      <w:r>
        <w:rPr>
          <w:i/>
          <w:sz w:val="24"/>
        </w:rPr>
        <w:t>Journal of Financial Intermediation</w:t>
      </w:r>
      <w:r>
        <w:rPr>
          <w:sz w:val="24"/>
        </w:rPr>
        <w:t xml:space="preserve"> 14, pp 1-31, January 2005.</w:t>
      </w:r>
    </w:p>
    <w:p w14:paraId="4D9C7605" w14:textId="77777777" w:rsidR="00EE69A8" w:rsidRDefault="00EE69A8" w:rsidP="00EE69A8">
      <w:pPr>
        <w:jc w:val="both"/>
        <w:rPr>
          <w:sz w:val="16"/>
        </w:rPr>
      </w:pPr>
    </w:p>
    <w:p w14:paraId="0668763C" w14:textId="77777777" w:rsidR="00EE69A8" w:rsidRDefault="00EE69A8" w:rsidP="00EE69A8">
      <w:pPr>
        <w:ind w:left="1440" w:hanging="720"/>
        <w:jc w:val="both"/>
        <w:rPr>
          <w:sz w:val="24"/>
        </w:rPr>
      </w:pPr>
      <w:r>
        <w:t>“</w:t>
      </w:r>
      <w:r>
        <w:rPr>
          <w:rStyle w:val="Emphasis"/>
          <w:rFonts w:ascii="Univers Medium" w:hAnsi="Univers Medium"/>
          <w:i w:val="0"/>
          <w:sz w:val="24"/>
        </w:rPr>
        <w:t>Individual Preferences, Monetary Gambles, and Stock Market Participation: A Case for Narrow Framing,</w:t>
      </w:r>
      <w:r>
        <w:rPr>
          <w:sz w:val="24"/>
        </w:rPr>
        <w:t xml:space="preserve">” with Nicholas Barberis and Richard Thaler, </w:t>
      </w:r>
      <w:r w:rsidRPr="00F24AAF">
        <w:rPr>
          <w:i/>
          <w:iCs/>
          <w:sz w:val="24"/>
        </w:rPr>
        <w:t>American Economic Review</w:t>
      </w:r>
      <w:r>
        <w:rPr>
          <w:sz w:val="24"/>
        </w:rPr>
        <w:t xml:space="preserve"> 96, pp 1069-90, September 2006.</w:t>
      </w:r>
    </w:p>
    <w:p w14:paraId="708C9C28" w14:textId="77777777" w:rsidR="00EE69A8" w:rsidRPr="00992E85" w:rsidRDefault="00EE69A8" w:rsidP="00EE69A8">
      <w:pPr>
        <w:jc w:val="both"/>
        <w:rPr>
          <w:sz w:val="16"/>
          <w:szCs w:val="16"/>
        </w:rPr>
      </w:pPr>
    </w:p>
    <w:p w14:paraId="5D4FABDB" w14:textId="77777777" w:rsidR="00EE69A8" w:rsidRDefault="00EE69A8" w:rsidP="00EE69A8">
      <w:pPr>
        <w:ind w:left="1440" w:hanging="720"/>
        <w:jc w:val="both"/>
        <w:rPr>
          <w:sz w:val="24"/>
        </w:rPr>
      </w:pPr>
      <w:r>
        <w:rPr>
          <w:sz w:val="24"/>
        </w:rPr>
        <w:t xml:space="preserve"> “The Loss Aversion / Narrow Framing Approach to the Equity Premium Puzzle,” with Nicholas Barberis, in </w:t>
      </w:r>
      <w:r>
        <w:rPr>
          <w:i/>
          <w:sz w:val="24"/>
        </w:rPr>
        <w:t>Handbook of the Equity Risk Premium</w:t>
      </w:r>
      <w:r>
        <w:rPr>
          <w:sz w:val="24"/>
        </w:rPr>
        <w:t>, edited by Raj Mehra, Elsevier, 200</w:t>
      </w:r>
      <w:r>
        <w:rPr>
          <w:rFonts w:hint="eastAsia"/>
          <w:sz w:val="24"/>
          <w:lang w:eastAsia="zh-CN"/>
        </w:rPr>
        <w:t>7</w:t>
      </w:r>
      <w:r>
        <w:rPr>
          <w:sz w:val="24"/>
        </w:rPr>
        <w:t>.</w:t>
      </w:r>
    </w:p>
    <w:p w14:paraId="5480DE2E" w14:textId="77777777" w:rsidR="00EE69A8" w:rsidRDefault="00EE69A8" w:rsidP="00EE69A8">
      <w:pPr>
        <w:jc w:val="both"/>
        <w:rPr>
          <w:sz w:val="24"/>
        </w:rPr>
      </w:pPr>
    </w:p>
    <w:p w14:paraId="6ED85A95" w14:textId="77777777" w:rsidR="00EE69A8" w:rsidRDefault="00EE69A8" w:rsidP="00EE69A8">
      <w:pPr>
        <w:pStyle w:val="BodyText"/>
        <w:ind w:left="1440" w:hanging="720"/>
        <w:rPr>
          <w:color w:val="000000"/>
        </w:rPr>
      </w:pPr>
      <w:r>
        <w:rPr>
          <w:color w:val="000000"/>
        </w:rPr>
        <w:t xml:space="preserve">“Stocks as Lotteries: The Implications of Probability Weighting for Security Prices,” with Nicholas Barberis, </w:t>
      </w:r>
      <w:r w:rsidRPr="004A4B26">
        <w:rPr>
          <w:i/>
          <w:color w:val="000000"/>
        </w:rPr>
        <w:t>American Economic Review</w:t>
      </w:r>
      <w:r>
        <w:rPr>
          <w:color w:val="000000"/>
        </w:rPr>
        <w:t xml:space="preserve">, </w:t>
      </w:r>
      <w:r>
        <w:t xml:space="preserve">98, 2066-2100, </w:t>
      </w:r>
      <w:r>
        <w:rPr>
          <w:rFonts w:hint="eastAsia"/>
          <w:color w:val="000000"/>
          <w:lang w:eastAsia="zh-CN"/>
        </w:rPr>
        <w:t xml:space="preserve">December </w:t>
      </w:r>
      <w:r>
        <w:rPr>
          <w:color w:val="000000"/>
        </w:rPr>
        <w:t>2008.</w:t>
      </w:r>
    </w:p>
    <w:p w14:paraId="7D17F817" w14:textId="77777777" w:rsidR="00EE69A8" w:rsidRDefault="00EE69A8" w:rsidP="00EE69A8">
      <w:pPr>
        <w:pStyle w:val="BodyText"/>
        <w:rPr>
          <w:rFonts w:hint="eastAsia"/>
          <w:color w:val="000000"/>
          <w:lang w:eastAsia="zh-CN"/>
        </w:rPr>
      </w:pPr>
    </w:p>
    <w:p w14:paraId="1B959533" w14:textId="77777777" w:rsidR="00EE69A8" w:rsidRDefault="00EE69A8" w:rsidP="00EE69A8">
      <w:pPr>
        <w:pStyle w:val="BodyText"/>
        <w:ind w:left="1440" w:hanging="720"/>
        <w:rPr>
          <w:rFonts w:hint="eastAsia"/>
          <w:lang w:eastAsia="zh-CN"/>
        </w:rPr>
      </w:pPr>
      <w:r>
        <w:t>“Preferences with Frames: A New Utility Specification that Allows for the Framing of Risks,”</w:t>
      </w:r>
      <w:r>
        <w:rPr>
          <w:color w:val="0000FF"/>
        </w:rPr>
        <w:t xml:space="preserve"> </w:t>
      </w:r>
      <w:r>
        <w:t xml:space="preserve">with Nicholas Barberis, </w:t>
      </w:r>
      <w:r w:rsidRPr="00952F40">
        <w:rPr>
          <w:rFonts w:hint="eastAsia"/>
          <w:i/>
        </w:rPr>
        <w:t>Journal of Economic Dynamics and Control</w:t>
      </w:r>
      <w:r>
        <w:rPr>
          <w:rFonts w:hint="eastAsia"/>
          <w:lang w:eastAsia="zh-CN"/>
        </w:rPr>
        <w:t xml:space="preserve">, </w:t>
      </w:r>
      <w:r>
        <w:t>33, 1555-1576, August 2009.</w:t>
      </w:r>
    </w:p>
    <w:p w14:paraId="54898F55" w14:textId="77777777" w:rsidR="00214477" w:rsidRDefault="00214477" w:rsidP="00EE69A8">
      <w:pPr>
        <w:pStyle w:val="BodyText"/>
        <w:ind w:left="1440" w:hanging="720"/>
        <w:rPr>
          <w:rFonts w:hint="eastAsia"/>
          <w:lang w:eastAsia="zh-CN"/>
        </w:rPr>
      </w:pPr>
    </w:p>
    <w:p w14:paraId="3C4C867F" w14:textId="77777777" w:rsidR="00214477" w:rsidRPr="00214477" w:rsidRDefault="00214477" w:rsidP="00EE69A8">
      <w:pPr>
        <w:pStyle w:val="BodyText"/>
        <w:ind w:left="1440" w:hanging="720"/>
        <w:rPr>
          <w:szCs w:val="24"/>
          <w:lang w:eastAsia="zh-CN"/>
        </w:rPr>
      </w:pPr>
      <w:r>
        <w:rPr>
          <w:color w:val="333333"/>
          <w:szCs w:val="24"/>
          <w:shd w:val="clear" w:color="auto" w:fill="FFFFFF"/>
          <w:lang w:eastAsia="zh-CN"/>
        </w:rPr>
        <w:t>“</w:t>
      </w:r>
      <w:r w:rsidRPr="00214477">
        <w:rPr>
          <w:color w:val="333333"/>
          <w:szCs w:val="24"/>
          <w:shd w:val="clear" w:color="auto" w:fill="FFFFFF"/>
        </w:rPr>
        <w:t>How Much of the Corporate-Treasury Yiel</w:t>
      </w:r>
      <w:r>
        <w:rPr>
          <w:color w:val="333333"/>
          <w:szCs w:val="24"/>
          <w:shd w:val="clear" w:color="auto" w:fill="FFFFFF"/>
        </w:rPr>
        <w:t>d Spread Is Due to Credit Risk?</w:t>
      </w:r>
      <w:r>
        <w:rPr>
          <w:color w:val="333333"/>
          <w:szCs w:val="24"/>
          <w:shd w:val="clear" w:color="auto" w:fill="FFFFFF"/>
          <w:lang w:eastAsia="zh-CN"/>
        </w:rPr>
        <w:t>”</w:t>
      </w:r>
      <w:r>
        <w:rPr>
          <w:rFonts w:hint="eastAsia"/>
          <w:color w:val="333333"/>
          <w:szCs w:val="24"/>
          <w:shd w:val="clear" w:color="auto" w:fill="FFFFFF"/>
          <w:lang w:eastAsia="zh-CN"/>
        </w:rPr>
        <w:t xml:space="preserve"> with </w:t>
      </w:r>
      <w:r w:rsidRPr="00214477">
        <w:rPr>
          <w:color w:val="333333"/>
          <w:szCs w:val="24"/>
          <w:shd w:val="clear" w:color="auto" w:fill="FFFFFF"/>
        </w:rPr>
        <w:t>Jingzhi Huang, </w:t>
      </w:r>
      <w:r w:rsidRPr="00214477">
        <w:rPr>
          <w:i/>
          <w:iCs/>
          <w:color w:val="333333"/>
          <w:szCs w:val="24"/>
          <w:shd w:val="clear" w:color="auto" w:fill="FFFFFF"/>
        </w:rPr>
        <w:t>Review of Asset Pricing Studies</w:t>
      </w:r>
      <w:r w:rsidRPr="00214477">
        <w:rPr>
          <w:color w:val="333333"/>
          <w:szCs w:val="24"/>
          <w:shd w:val="clear" w:color="auto" w:fill="FFFFFF"/>
        </w:rPr>
        <w:t>, 2012, 2, 153-202.</w:t>
      </w:r>
    </w:p>
    <w:sectPr w:rsidR="00214477" w:rsidRPr="00214477" w:rsidSect="00444B00">
      <w:footerReference w:type="default" r:id="rId7"/>
      <w:type w:val="continuous"/>
      <w:pgSz w:w="12240" w:h="15840" w:code="1"/>
      <w:pgMar w:top="1440" w:right="1729" w:bottom="1440" w:left="172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92961" w14:textId="77777777" w:rsidR="004E15F5" w:rsidRDefault="004E15F5">
      <w:r>
        <w:separator/>
      </w:r>
    </w:p>
  </w:endnote>
  <w:endnote w:type="continuationSeparator" w:id="0">
    <w:p w14:paraId="48D58BF7" w14:textId="77777777" w:rsidR="004E15F5" w:rsidRDefault="004E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 Med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3B878" w14:textId="77777777" w:rsidR="00B47F2A" w:rsidRDefault="00B47F2A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1DB3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C8A977" w14:textId="77777777" w:rsidR="00B47F2A" w:rsidRDefault="00B47F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17356" w14:textId="77777777" w:rsidR="004E15F5" w:rsidRDefault="004E15F5">
      <w:r>
        <w:separator/>
      </w:r>
    </w:p>
  </w:footnote>
  <w:footnote w:type="continuationSeparator" w:id="0">
    <w:p w14:paraId="5DBCC90B" w14:textId="77777777" w:rsidR="004E15F5" w:rsidRDefault="004E1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60AED"/>
    <w:multiLevelType w:val="hybridMultilevel"/>
    <w:tmpl w:val="94F03C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521245"/>
    <w:multiLevelType w:val="hybridMultilevel"/>
    <w:tmpl w:val="2D3222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625740753">
    <w:abstractNumId w:val="1"/>
  </w:num>
  <w:num w:numId="2" w16cid:durableId="95104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30C1"/>
    <w:rsid w:val="00052CAA"/>
    <w:rsid w:val="000B1DB3"/>
    <w:rsid w:val="0010370D"/>
    <w:rsid w:val="00165DB5"/>
    <w:rsid w:val="00174D5A"/>
    <w:rsid w:val="001864E9"/>
    <w:rsid w:val="001B31D9"/>
    <w:rsid w:val="001D3588"/>
    <w:rsid w:val="002046C0"/>
    <w:rsid w:val="00214477"/>
    <w:rsid w:val="0021534A"/>
    <w:rsid w:val="00241568"/>
    <w:rsid w:val="00361C1B"/>
    <w:rsid w:val="0036338C"/>
    <w:rsid w:val="003B59FC"/>
    <w:rsid w:val="003D36B1"/>
    <w:rsid w:val="003D42A9"/>
    <w:rsid w:val="003F5743"/>
    <w:rsid w:val="00416D53"/>
    <w:rsid w:val="004379E1"/>
    <w:rsid w:val="00444B00"/>
    <w:rsid w:val="00453E29"/>
    <w:rsid w:val="00461359"/>
    <w:rsid w:val="00486049"/>
    <w:rsid w:val="004A4B26"/>
    <w:rsid w:val="004E15F5"/>
    <w:rsid w:val="004E431D"/>
    <w:rsid w:val="004F52BE"/>
    <w:rsid w:val="0050734F"/>
    <w:rsid w:val="005B30EC"/>
    <w:rsid w:val="005E45C1"/>
    <w:rsid w:val="006665DA"/>
    <w:rsid w:val="006A30D9"/>
    <w:rsid w:val="006B3C75"/>
    <w:rsid w:val="00764017"/>
    <w:rsid w:val="00781CD8"/>
    <w:rsid w:val="007C239C"/>
    <w:rsid w:val="007C64CF"/>
    <w:rsid w:val="008332B9"/>
    <w:rsid w:val="00836206"/>
    <w:rsid w:val="00861BAE"/>
    <w:rsid w:val="00883667"/>
    <w:rsid w:val="008A732F"/>
    <w:rsid w:val="008D5888"/>
    <w:rsid w:val="0093544E"/>
    <w:rsid w:val="00992E85"/>
    <w:rsid w:val="00994993"/>
    <w:rsid w:val="009A53D5"/>
    <w:rsid w:val="009B32F1"/>
    <w:rsid w:val="009B3A8A"/>
    <w:rsid w:val="00A003A2"/>
    <w:rsid w:val="00AD6F95"/>
    <w:rsid w:val="00AF22C1"/>
    <w:rsid w:val="00B47F2A"/>
    <w:rsid w:val="00B67836"/>
    <w:rsid w:val="00BB073E"/>
    <w:rsid w:val="00BD3093"/>
    <w:rsid w:val="00C44428"/>
    <w:rsid w:val="00C6161D"/>
    <w:rsid w:val="00C75EA6"/>
    <w:rsid w:val="00CA7349"/>
    <w:rsid w:val="00CB3E89"/>
    <w:rsid w:val="00CC2E04"/>
    <w:rsid w:val="00D25546"/>
    <w:rsid w:val="00D95BE8"/>
    <w:rsid w:val="00DA417C"/>
    <w:rsid w:val="00DD30C1"/>
    <w:rsid w:val="00E21F83"/>
    <w:rsid w:val="00E91BDE"/>
    <w:rsid w:val="00EC3C38"/>
    <w:rsid w:val="00EE69A8"/>
    <w:rsid w:val="00F11B0B"/>
    <w:rsid w:val="00F171E8"/>
    <w:rsid w:val="00F24AAF"/>
    <w:rsid w:val="00FF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E04F8D5"/>
  <w15:chartTrackingRefBased/>
  <w15:docId w15:val="{B0B75566-2F14-4890-AEE6-7992E86A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71E8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Univers Medium" w:hAnsi="Univers Medium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pPr>
      <w:spacing w:before="100" w:after="100"/>
    </w:pPr>
    <w:rPr>
      <w:color w:val="000000"/>
      <w:sz w:val="24"/>
    </w:rPr>
  </w:style>
  <w:style w:type="character" w:styleId="Emphasis">
    <w:name w:val="Emphasis"/>
    <w:uiPriority w:val="20"/>
    <w:qFormat/>
    <w:rPr>
      <w:i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customStyle="1" w:styleId="Answer">
    <w:name w:val="Answer"/>
    <w:basedOn w:val="Normal"/>
    <w:rsid w:val="00AD6F95"/>
    <w:pPr>
      <w:overflowPunct/>
      <w:autoSpaceDE/>
      <w:autoSpaceDN/>
      <w:adjustRightInd/>
      <w:spacing w:after="600"/>
      <w:ind w:left="2160"/>
      <w:textAlignment w:val="auto"/>
    </w:pPr>
    <w:rPr>
      <w:sz w:val="24"/>
    </w:rPr>
  </w:style>
  <w:style w:type="character" w:customStyle="1" w:styleId="apple-converted-space">
    <w:name w:val="apple-converted-space"/>
    <w:rsid w:val="00214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MING HUANG</vt:lpstr>
    </vt:vector>
  </TitlesOfParts>
  <Company>Cornell University</Company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MING HUANG</dc:title>
  <dc:subject/>
  <dc:creator>Ming Huang</dc:creator>
  <cp:keywords/>
  <cp:lastModifiedBy>Janet Lynn Weber</cp:lastModifiedBy>
  <cp:revision>2</cp:revision>
  <cp:lastPrinted>2018-02-02T00:40:00Z</cp:lastPrinted>
  <dcterms:created xsi:type="dcterms:W3CDTF">2025-03-07T19:29:00Z</dcterms:created>
  <dcterms:modified xsi:type="dcterms:W3CDTF">2025-03-07T19:29:00Z</dcterms:modified>
</cp:coreProperties>
</file>