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1"/>
        <w:gridCol w:w="5376"/>
        <w:gridCol w:w="921"/>
        <w:gridCol w:w="874"/>
        <w:gridCol w:w="93"/>
        <w:gridCol w:w="174"/>
        <w:gridCol w:w="1263"/>
      </w:tblGrid>
      <w:tr w:rsidR="003D6BA3" w:rsidRPr="00B07082" w14:paraId="070B7B51" w14:textId="77777777" w:rsidTr="008E629F">
        <w:tc>
          <w:tcPr>
            <w:tcW w:w="10152" w:type="dxa"/>
            <w:gridSpan w:val="7"/>
          </w:tcPr>
          <w:p w14:paraId="6DCC793C" w14:textId="77777777" w:rsidR="003D6BA3" w:rsidRPr="00B07082" w:rsidRDefault="003D6BA3" w:rsidP="00FE79CB">
            <w:pPr>
              <w:pStyle w:val="Title"/>
              <w:rPr>
                <w:sz w:val="20"/>
              </w:rPr>
            </w:pPr>
            <w:r w:rsidRPr="00B07082">
              <w:rPr>
                <w:sz w:val="20"/>
              </w:rPr>
              <w:t>DREW D. PASCARELLA</w:t>
            </w:r>
          </w:p>
          <w:p w14:paraId="5853EC54" w14:textId="77777777" w:rsidR="009E288E" w:rsidRDefault="009E288E" w:rsidP="00FE79CB">
            <w:pPr>
              <w:jc w:val="center"/>
              <w:rPr>
                <w:b w:val="0"/>
                <w:sz w:val="20"/>
              </w:rPr>
            </w:pPr>
            <w:r w:rsidRPr="009E288E">
              <w:rPr>
                <w:b w:val="0"/>
                <w:sz w:val="20"/>
              </w:rPr>
              <w:t>Samuel Curtis Johnson Graduate School of Management at Cornell University</w:t>
            </w:r>
          </w:p>
          <w:p w14:paraId="269E4455" w14:textId="10A1293F" w:rsidR="003D6BA3" w:rsidRPr="00B07082" w:rsidRDefault="00D612E6" w:rsidP="00FE79CB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350</w:t>
            </w:r>
            <w:r w:rsidR="00AD65D4">
              <w:rPr>
                <w:b w:val="0"/>
                <w:sz w:val="20"/>
              </w:rPr>
              <w:t xml:space="preserve"> </w:t>
            </w:r>
            <w:r w:rsidR="005D7D50" w:rsidRPr="00B07082">
              <w:rPr>
                <w:b w:val="0"/>
                <w:sz w:val="20"/>
              </w:rPr>
              <w:t>Sage Hall</w:t>
            </w:r>
          </w:p>
          <w:p w14:paraId="20B04759" w14:textId="77777777" w:rsidR="005D7D50" w:rsidRDefault="005D7D50" w:rsidP="00FE79CB">
            <w:pPr>
              <w:jc w:val="center"/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>Ithaca, NY</w:t>
            </w:r>
            <w:r w:rsidR="00661B27">
              <w:rPr>
                <w:b w:val="0"/>
                <w:sz w:val="20"/>
              </w:rPr>
              <w:t xml:space="preserve"> 14853</w:t>
            </w:r>
          </w:p>
          <w:p w14:paraId="25ADEC56" w14:textId="77777777" w:rsidR="009E288E" w:rsidRDefault="009E288E" w:rsidP="00FE79CB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O: 607.255.6200</w:t>
            </w:r>
          </w:p>
          <w:p w14:paraId="1C507244" w14:textId="77777777" w:rsidR="009E288E" w:rsidRDefault="009E288E" w:rsidP="00FE79CB">
            <w:p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C: 917.670.1097</w:t>
            </w:r>
          </w:p>
          <w:p w14:paraId="553C5812" w14:textId="77777777" w:rsidR="009E288E" w:rsidRPr="00B07082" w:rsidRDefault="009E288E" w:rsidP="00FE79CB">
            <w:pPr>
              <w:jc w:val="center"/>
              <w:rPr>
                <w:b w:val="0"/>
                <w:sz w:val="20"/>
                <w:lang w:val="nb-NO"/>
              </w:rPr>
            </w:pPr>
            <w:r>
              <w:rPr>
                <w:b w:val="0"/>
                <w:sz w:val="20"/>
              </w:rPr>
              <w:t>ddp4@cornell.edu</w:t>
            </w:r>
          </w:p>
        </w:tc>
      </w:tr>
      <w:tr w:rsidR="003D6BA3" w:rsidRPr="00B07082" w14:paraId="35989D3E" w14:textId="77777777" w:rsidTr="008E629F">
        <w:tc>
          <w:tcPr>
            <w:tcW w:w="1451" w:type="dxa"/>
          </w:tcPr>
          <w:p w14:paraId="5E867E8F" w14:textId="77777777" w:rsidR="003D6BA3" w:rsidRPr="00B07082" w:rsidRDefault="003D6BA3" w:rsidP="00FE79CB">
            <w:pPr>
              <w:rPr>
                <w:b w:val="0"/>
                <w:sz w:val="20"/>
                <w:lang w:val="nb-NO"/>
              </w:rPr>
            </w:pPr>
          </w:p>
        </w:tc>
        <w:tc>
          <w:tcPr>
            <w:tcW w:w="5376" w:type="dxa"/>
          </w:tcPr>
          <w:p w14:paraId="68B20D43" w14:textId="77777777" w:rsidR="003D6BA3" w:rsidRPr="00B07082" w:rsidRDefault="003D6BA3" w:rsidP="00FE79CB">
            <w:pPr>
              <w:rPr>
                <w:b w:val="0"/>
                <w:sz w:val="20"/>
                <w:lang w:val="nb-NO"/>
              </w:rPr>
            </w:pPr>
          </w:p>
        </w:tc>
        <w:tc>
          <w:tcPr>
            <w:tcW w:w="3325" w:type="dxa"/>
            <w:gridSpan w:val="5"/>
          </w:tcPr>
          <w:p w14:paraId="11B3B0F7" w14:textId="77777777" w:rsidR="003D6BA3" w:rsidRPr="00B07082" w:rsidRDefault="003D6BA3" w:rsidP="00FE79CB">
            <w:pPr>
              <w:rPr>
                <w:b w:val="0"/>
                <w:sz w:val="20"/>
                <w:lang w:val="nb-NO"/>
              </w:rPr>
            </w:pPr>
          </w:p>
        </w:tc>
      </w:tr>
      <w:tr w:rsidR="003D6BA3" w:rsidRPr="00B07082" w14:paraId="54CB3FE4" w14:textId="77777777" w:rsidTr="008E629F">
        <w:tc>
          <w:tcPr>
            <w:tcW w:w="1451" w:type="dxa"/>
          </w:tcPr>
          <w:p w14:paraId="3AD51F20" w14:textId="77777777" w:rsidR="003D6BA3" w:rsidRPr="00B07082" w:rsidRDefault="003D6BA3" w:rsidP="00FE79CB">
            <w:pPr>
              <w:rPr>
                <w:b w:val="0"/>
                <w:sz w:val="20"/>
                <w:lang w:val="nb-NO"/>
              </w:rPr>
            </w:pPr>
            <w:r w:rsidRPr="00B07082">
              <w:rPr>
                <w:sz w:val="20"/>
              </w:rPr>
              <w:t>Experience:</w:t>
            </w:r>
          </w:p>
        </w:tc>
        <w:tc>
          <w:tcPr>
            <w:tcW w:w="5376" w:type="dxa"/>
          </w:tcPr>
          <w:p w14:paraId="1D17F308" w14:textId="77777777" w:rsidR="003D6BA3" w:rsidRPr="00B07082" w:rsidRDefault="003D6BA3" w:rsidP="00FE79CB">
            <w:pPr>
              <w:rPr>
                <w:b w:val="0"/>
                <w:sz w:val="20"/>
                <w:lang w:val="nb-NO"/>
              </w:rPr>
            </w:pPr>
          </w:p>
        </w:tc>
        <w:tc>
          <w:tcPr>
            <w:tcW w:w="3325" w:type="dxa"/>
            <w:gridSpan w:val="5"/>
          </w:tcPr>
          <w:p w14:paraId="3AD33CAB" w14:textId="77777777" w:rsidR="003D6BA3" w:rsidRPr="00B07082" w:rsidRDefault="003D6BA3" w:rsidP="00FE79CB">
            <w:pPr>
              <w:rPr>
                <w:b w:val="0"/>
                <w:sz w:val="20"/>
                <w:lang w:val="nb-NO"/>
              </w:rPr>
            </w:pPr>
          </w:p>
        </w:tc>
      </w:tr>
      <w:tr w:rsidR="000014E9" w:rsidRPr="00B07082" w14:paraId="0BC7B081" w14:textId="77777777" w:rsidTr="008E629F">
        <w:tc>
          <w:tcPr>
            <w:tcW w:w="1451" w:type="dxa"/>
          </w:tcPr>
          <w:p w14:paraId="145EEA84" w14:textId="77777777" w:rsidR="000014E9" w:rsidRPr="00B07082" w:rsidRDefault="000014E9" w:rsidP="000014E9">
            <w:pPr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>2012 – Present</w:t>
            </w:r>
          </w:p>
        </w:tc>
        <w:tc>
          <w:tcPr>
            <w:tcW w:w="7438" w:type="dxa"/>
            <w:gridSpan w:val="5"/>
          </w:tcPr>
          <w:p w14:paraId="185797E2" w14:textId="77777777" w:rsidR="00AA12AC" w:rsidRDefault="009E288E" w:rsidP="009E288E">
            <w:pPr>
              <w:rPr>
                <w:sz w:val="20"/>
              </w:rPr>
            </w:pPr>
            <w:r>
              <w:rPr>
                <w:sz w:val="20"/>
              </w:rPr>
              <w:t xml:space="preserve">SAMUEL CURTIS JOHNSON GRADUATE SCHOOL OF MANAGEMENT </w:t>
            </w:r>
          </w:p>
          <w:p w14:paraId="736A68FA" w14:textId="77777777" w:rsidR="009E288E" w:rsidRDefault="009E288E" w:rsidP="009E288E">
            <w:pPr>
              <w:rPr>
                <w:sz w:val="20"/>
              </w:rPr>
            </w:pPr>
            <w:r>
              <w:rPr>
                <w:sz w:val="20"/>
              </w:rPr>
              <w:t>AT</w:t>
            </w:r>
            <w:r w:rsidRPr="009E288E">
              <w:rPr>
                <w:sz w:val="20"/>
              </w:rPr>
              <w:t xml:space="preserve"> </w:t>
            </w:r>
            <w:r>
              <w:rPr>
                <w:sz w:val="20"/>
              </w:rPr>
              <w:t>CORNELL UNIVERSITY</w:t>
            </w:r>
          </w:p>
          <w:p w14:paraId="544A41A5" w14:textId="6830D844" w:rsidR="000014E9" w:rsidRPr="00B07082" w:rsidRDefault="00C70DBE" w:rsidP="009E288E">
            <w:pPr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 xml:space="preserve">Senior </w:t>
            </w:r>
            <w:r w:rsidRPr="00B07082">
              <w:rPr>
                <w:b w:val="0"/>
                <w:i/>
                <w:sz w:val="20"/>
              </w:rPr>
              <w:t>Lecturer of Finance</w:t>
            </w:r>
            <w:r>
              <w:rPr>
                <w:b w:val="0"/>
                <w:i/>
                <w:sz w:val="20"/>
              </w:rPr>
              <w:t xml:space="preserve"> (2018- ), </w:t>
            </w:r>
            <w:r w:rsidR="00BA5C67">
              <w:rPr>
                <w:b w:val="0"/>
                <w:i/>
                <w:sz w:val="20"/>
              </w:rPr>
              <w:t>Associate Dean for MBA Programs (2019-</w:t>
            </w:r>
            <w:r>
              <w:rPr>
                <w:b w:val="0"/>
                <w:i/>
                <w:sz w:val="20"/>
              </w:rPr>
              <w:t>2022</w:t>
            </w:r>
            <w:r w:rsidR="00ED2291">
              <w:rPr>
                <w:b w:val="0"/>
                <w:i/>
                <w:sz w:val="20"/>
              </w:rPr>
              <w:t xml:space="preserve"> – </w:t>
            </w:r>
            <w:proofErr w:type="gramStart"/>
            <w:r w:rsidR="00ED2291">
              <w:rPr>
                <w:b w:val="0"/>
                <w:i/>
                <w:sz w:val="20"/>
              </w:rPr>
              <w:t>3 year</w:t>
            </w:r>
            <w:proofErr w:type="gramEnd"/>
            <w:r w:rsidR="00ED2291">
              <w:rPr>
                <w:b w:val="0"/>
                <w:i/>
                <w:sz w:val="20"/>
              </w:rPr>
              <w:t xml:space="preserve"> term</w:t>
            </w:r>
            <w:r w:rsidR="00BA5C67">
              <w:rPr>
                <w:b w:val="0"/>
                <w:i/>
                <w:sz w:val="20"/>
              </w:rPr>
              <w:t xml:space="preserve">), </w:t>
            </w:r>
            <w:r w:rsidR="00FF0E1D">
              <w:rPr>
                <w:b w:val="0"/>
                <w:i/>
                <w:sz w:val="20"/>
              </w:rPr>
              <w:t>Rempe Wilson Distinguished Lecturer (2017-</w:t>
            </w:r>
            <w:r>
              <w:rPr>
                <w:b w:val="0"/>
                <w:i/>
                <w:sz w:val="20"/>
              </w:rPr>
              <w:t>2022</w:t>
            </w:r>
            <w:r w:rsidR="00ED2291">
              <w:rPr>
                <w:b w:val="0"/>
                <w:i/>
                <w:sz w:val="20"/>
              </w:rPr>
              <w:t xml:space="preserve"> </w:t>
            </w:r>
            <w:proofErr w:type="gramStart"/>
            <w:r w:rsidR="00ED2291">
              <w:rPr>
                <w:b w:val="0"/>
                <w:i/>
                <w:sz w:val="20"/>
              </w:rPr>
              <w:t>4 year</w:t>
            </w:r>
            <w:proofErr w:type="gramEnd"/>
            <w:r w:rsidR="00ED2291">
              <w:rPr>
                <w:b w:val="0"/>
                <w:i/>
                <w:sz w:val="20"/>
              </w:rPr>
              <w:t xml:space="preserve"> term</w:t>
            </w:r>
            <w:r w:rsidR="00FF0E1D">
              <w:rPr>
                <w:b w:val="0"/>
                <w:i/>
                <w:sz w:val="20"/>
              </w:rPr>
              <w:t xml:space="preserve">), </w:t>
            </w:r>
            <w:r w:rsidR="0044432E" w:rsidRPr="00B07082">
              <w:rPr>
                <w:b w:val="0"/>
                <w:i/>
                <w:sz w:val="20"/>
              </w:rPr>
              <w:t>Lecturer of Finance</w:t>
            </w:r>
            <w:r w:rsidR="0044432E">
              <w:rPr>
                <w:b w:val="0"/>
                <w:i/>
                <w:sz w:val="20"/>
              </w:rPr>
              <w:t xml:space="preserve"> (2012-2018)</w:t>
            </w:r>
          </w:p>
        </w:tc>
        <w:tc>
          <w:tcPr>
            <w:tcW w:w="1263" w:type="dxa"/>
          </w:tcPr>
          <w:p w14:paraId="3FC5367A" w14:textId="77777777" w:rsidR="000014E9" w:rsidRPr="00B07082" w:rsidRDefault="000014E9" w:rsidP="00FE79CB">
            <w:pPr>
              <w:jc w:val="right"/>
              <w:rPr>
                <w:sz w:val="20"/>
              </w:rPr>
            </w:pPr>
            <w:r w:rsidRPr="00B07082">
              <w:rPr>
                <w:sz w:val="20"/>
              </w:rPr>
              <w:t>Ithaca, NY</w:t>
            </w:r>
          </w:p>
        </w:tc>
      </w:tr>
      <w:tr w:rsidR="000014E9" w:rsidRPr="00B07082" w14:paraId="5FC85784" w14:textId="77777777" w:rsidTr="008E629F">
        <w:tc>
          <w:tcPr>
            <w:tcW w:w="1451" w:type="dxa"/>
          </w:tcPr>
          <w:p w14:paraId="06CAF199" w14:textId="77777777" w:rsidR="000014E9" w:rsidRPr="00B07082" w:rsidRDefault="000014E9" w:rsidP="00FE79CB">
            <w:pPr>
              <w:rPr>
                <w:b w:val="0"/>
                <w:sz w:val="20"/>
              </w:rPr>
            </w:pPr>
          </w:p>
        </w:tc>
        <w:tc>
          <w:tcPr>
            <w:tcW w:w="8701" w:type="dxa"/>
            <w:gridSpan w:val="6"/>
          </w:tcPr>
          <w:p w14:paraId="32A33EEB" w14:textId="03BD452E" w:rsidR="000014E9" w:rsidRDefault="000014E9" w:rsidP="00FE79CB">
            <w:pPr>
              <w:rPr>
                <w:b w:val="0"/>
                <w:sz w:val="20"/>
              </w:rPr>
            </w:pPr>
          </w:p>
          <w:p w14:paraId="76B9EA78" w14:textId="77777777" w:rsidR="00FD48CC" w:rsidRPr="00B07082" w:rsidRDefault="00FD48CC" w:rsidP="00FD48CC">
            <w:pPr>
              <w:jc w:val="both"/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 xml:space="preserve">Lead the Investment Banking Immersion, a practitioner-led program for first year MBA students seeking a career in banking. </w:t>
            </w:r>
            <w:r>
              <w:rPr>
                <w:b w:val="0"/>
                <w:sz w:val="20"/>
              </w:rPr>
              <w:t xml:space="preserve">Focus on teaching MBA students all aspects of the Mergers and Acquisition and Capital Formation processes. </w:t>
            </w:r>
            <w:r w:rsidRPr="00B07082">
              <w:rPr>
                <w:b w:val="0"/>
                <w:sz w:val="20"/>
              </w:rPr>
              <w:t xml:space="preserve">Build and maintain key investment banking relationships. Counsel students on career, academic, and personal development initiatives. </w:t>
            </w:r>
            <w:r>
              <w:rPr>
                <w:b w:val="0"/>
                <w:sz w:val="20"/>
              </w:rPr>
              <w:t xml:space="preserve">Teach a range of finance-related courses to undergraduate, MBA, and executive MBA students, including Corporate Finance, Mergers and Acquisitions, and Investment Banking Essentials. </w:t>
            </w:r>
            <w:r w:rsidRPr="00B07082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Deep experience in corporate training. Founder of Cornell’s FinTech Intensive.  </w:t>
            </w:r>
          </w:p>
          <w:p w14:paraId="7C58D395" w14:textId="77777777" w:rsidR="00FD48CC" w:rsidRDefault="00FD48CC" w:rsidP="00BA5C67">
            <w:pPr>
              <w:jc w:val="both"/>
              <w:rPr>
                <w:b w:val="0"/>
                <w:sz w:val="20"/>
              </w:rPr>
            </w:pPr>
          </w:p>
          <w:p w14:paraId="0F13AAEA" w14:textId="332DBA82" w:rsidR="00BA5C67" w:rsidRDefault="00FD48CC" w:rsidP="00BA5C67">
            <w:pPr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From 2019-2022, le</w:t>
            </w:r>
            <w:r w:rsidR="00BA5C67">
              <w:rPr>
                <w:b w:val="0"/>
                <w:sz w:val="20"/>
              </w:rPr>
              <w:t xml:space="preserve">d all aspects of Johnson’s residential MBA programs, including curriculum, admissions, placement, student services, diversity and inclusion, and leadership. Passionate advocate for Johnson and its outstanding students, alumni, and corporate partners. </w:t>
            </w:r>
          </w:p>
          <w:p w14:paraId="657311F0" w14:textId="0A8408E5" w:rsidR="0007559C" w:rsidRDefault="0007559C" w:rsidP="00BA5C67">
            <w:pPr>
              <w:jc w:val="both"/>
              <w:rPr>
                <w:b w:val="0"/>
                <w:sz w:val="20"/>
              </w:rPr>
            </w:pPr>
          </w:p>
          <w:p w14:paraId="0655F177" w14:textId="7DC5B314" w:rsidR="0007559C" w:rsidRDefault="00325523" w:rsidP="00BA5C67">
            <w:pPr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Three</w:t>
            </w:r>
            <w:r w:rsidR="0007559C">
              <w:rPr>
                <w:b w:val="0"/>
                <w:sz w:val="20"/>
              </w:rPr>
              <w:t xml:space="preserve">-time winner </w:t>
            </w:r>
            <w:r>
              <w:rPr>
                <w:b w:val="0"/>
                <w:sz w:val="20"/>
              </w:rPr>
              <w:t>of</w:t>
            </w:r>
            <w:r w:rsidR="00D768B7">
              <w:rPr>
                <w:b w:val="0"/>
                <w:sz w:val="20"/>
              </w:rPr>
              <w:t xml:space="preserve"> </w:t>
            </w:r>
            <w:r w:rsidR="0007559C">
              <w:rPr>
                <w:b w:val="0"/>
                <w:sz w:val="20"/>
              </w:rPr>
              <w:t>excellence in teaching award</w:t>
            </w:r>
            <w:r>
              <w:rPr>
                <w:b w:val="0"/>
                <w:sz w:val="20"/>
              </w:rPr>
              <w:t>s</w:t>
            </w:r>
            <w:r w:rsidR="0007559C">
              <w:rPr>
                <w:b w:val="0"/>
                <w:sz w:val="20"/>
              </w:rPr>
              <w:t>.</w:t>
            </w:r>
          </w:p>
          <w:p w14:paraId="7172C427" w14:textId="77777777" w:rsidR="00BA5C67" w:rsidRPr="00B07082" w:rsidRDefault="00BA5C67" w:rsidP="00FE79CB">
            <w:pPr>
              <w:rPr>
                <w:b w:val="0"/>
                <w:sz w:val="20"/>
              </w:rPr>
            </w:pPr>
          </w:p>
          <w:p w14:paraId="2508DB0D" w14:textId="77777777" w:rsidR="000014E9" w:rsidRPr="00B07082" w:rsidRDefault="000014E9" w:rsidP="00FD48CC">
            <w:pPr>
              <w:jc w:val="both"/>
              <w:rPr>
                <w:b w:val="0"/>
                <w:sz w:val="20"/>
              </w:rPr>
            </w:pPr>
          </w:p>
        </w:tc>
      </w:tr>
      <w:tr w:rsidR="00894309" w:rsidRPr="00B07082" w14:paraId="119C87ED" w14:textId="77777777" w:rsidTr="00AF2A94">
        <w:tc>
          <w:tcPr>
            <w:tcW w:w="1451" w:type="dxa"/>
          </w:tcPr>
          <w:p w14:paraId="3761745B" w14:textId="199EA831" w:rsidR="00894309" w:rsidRDefault="00894309" w:rsidP="005C350B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2020 – Present</w:t>
            </w:r>
          </w:p>
        </w:tc>
        <w:tc>
          <w:tcPr>
            <w:tcW w:w="7171" w:type="dxa"/>
            <w:gridSpan w:val="3"/>
          </w:tcPr>
          <w:p w14:paraId="30B9985B" w14:textId="661CFDFF" w:rsidR="00894309" w:rsidRDefault="00894309" w:rsidP="00DE3C5A">
            <w:pPr>
              <w:rPr>
                <w:sz w:val="20"/>
              </w:rPr>
            </w:pPr>
            <w:r>
              <w:rPr>
                <w:sz w:val="20"/>
              </w:rPr>
              <w:t>Expert Witness</w:t>
            </w:r>
          </w:p>
        </w:tc>
        <w:tc>
          <w:tcPr>
            <w:tcW w:w="1530" w:type="dxa"/>
            <w:gridSpan w:val="3"/>
          </w:tcPr>
          <w:p w14:paraId="5B16B7F8" w14:textId="41C77635" w:rsidR="00894309" w:rsidRDefault="00894309" w:rsidP="00DE3C5A">
            <w:pPr>
              <w:jc w:val="right"/>
              <w:rPr>
                <w:sz w:val="20"/>
              </w:rPr>
            </w:pPr>
            <w:r>
              <w:rPr>
                <w:sz w:val="20"/>
              </w:rPr>
              <w:t>Ithaca, NY</w:t>
            </w:r>
          </w:p>
        </w:tc>
      </w:tr>
      <w:tr w:rsidR="00894309" w:rsidRPr="00B07082" w14:paraId="50EF0D19" w14:textId="77777777" w:rsidTr="00AF2A94">
        <w:tc>
          <w:tcPr>
            <w:tcW w:w="1451" w:type="dxa"/>
          </w:tcPr>
          <w:p w14:paraId="3D1758FA" w14:textId="77777777" w:rsidR="00894309" w:rsidRDefault="00894309" w:rsidP="005C350B">
            <w:pPr>
              <w:rPr>
                <w:b w:val="0"/>
                <w:sz w:val="20"/>
              </w:rPr>
            </w:pPr>
          </w:p>
        </w:tc>
        <w:tc>
          <w:tcPr>
            <w:tcW w:w="7171" w:type="dxa"/>
            <w:gridSpan w:val="3"/>
          </w:tcPr>
          <w:p w14:paraId="77F2E0FA" w14:textId="77777777" w:rsidR="00894309" w:rsidRDefault="00894309" w:rsidP="00DE3C5A">
            <w:pPr>
              <w:rPr>
                <w:sz w:val="20"/>
              </w:rPr>
            </w:pPr>
          </w:p>
          <w:p w14:paraId="4278C26B" w14:textId="3016DEC1" w:rsidR="005F4E4C" w:rsidRDefault="005F4E4C" w:rsidP="004451DA">
            <w:pPr>
              <w:rPr>
                <w:sz w:val="20"/>
              </w:rPr>
            </w:pPr>
            <w:r>
              <w:rPr>
                <w:sz w:val="20"/>
              </w:rPr>
              <w:t>Resonant Inc. Stockholders Litigation</w:t>
            </w:r>
          </w:p>
          <w:p w14:paraId="5669B26F" w14:textId="30CF9F19" w:rsidR="005F4E4C" w:rsidRDefault="005F4E4C" w:rsidP="005F4E4C">
            <w:pPr>
              <w:pStyle w:val="ListParagraph"/>
              <w:numPr>
                <w:ilvl w:val="0"/>
                <w:numId w:val="6"/>
              </w:numPr>
              <w:rPr>
                <w:b w:val="0"/>
                <w:bCs/>
                <w:sz w:val="20"/>
              </w:rPr>
            </w:pPr>
            <w:r w:rsidRPr="005F4E4C">
              <w:rPr>
                <w:b w:val="0"/>
                <w:bCs/>
                <w:sz w:val="20"/>
              </w:rPr>
              <w:t>Case No. 2023-0400-MTZ (Delaware)</w:t>
            </w:r>
          </w:p>
          <w:p w14:paraId="70C796BA" w14:textId="0335F17C" w:rsidR="005F4E4C" w:rsidRPr="005F4E4C" w:rsidRDefault="005F4E4C" w:rsidP="005F4E4C">
            <w:pPr>
              <w:pStyle w:val="ListParagraph"/>
              <w:numPr>
                <w:ilvl w:val="0"/>
                <w:numId w:val="6"/>
              </w:numPr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Rebuttal report</w:t>
            </w:r>
            <w:r w:rsidR="009522AD">
              <w:rPr>
                <w:b w:val="0"/>
                <w:bCs/>
                <w:sz w:val="20"/>
              </w:rPr>
              <w:t>, Deposition</w:t>
            </w:r>
            <w:r>
              <w:rPr>
                <w:b w:val="0"/>
                <w:bCs/>
                <w:sz w:val="20"/>
              </w:rPr>
              <w:t xml:space="preserve"> (ongoing)</w:t>
            </w:r>
          </w:p>
          <w:p w14:paraId="0E99C46A" w14:textId="1F45591F" w:rsidR="00325523" w:rsidRDefault="00325523" w:rsidP="004451D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Emisphere</w:t>
            </w:r>
            <w:proofErr w:type="spellEnd"/>
            <w:r>
              <w:rPr>
                <w:sz w:val="20"/>
              </w:rPr>
              <w:t xml:space="preserve"> Technologies, Inc. Stockholders Litigation</w:t>
            </w:r>
          </w:p>
          <w:p w14:paraId="3DA29246" w14:textId="486DA199" w:rsidR="00325523" w:rsidRDefault="00325523" w:rsidP="00325523">
            <w:pPr>
              <w:pStyle w:val="ListParagraph"/>
              <w:numPr>
                <w:ilvl w:val="0"/>
                <w:numId w:val="5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</w:t>
            </w:r>
            <w:r w:rsidRPr="004451DA">
              <w:rPr>
                <w:b w:val="0"/>
                <w:sz w:val="20"/>
              </w:rPr>
              <w:t xml:space="preserve">ase No. </w:t>
            </w:r>
            <w:r w:rsidRPr="00325523">
              <w:rPr>
                <w:b w:val="0"/>
                <w:sz w:val="20"/>
              </w:rPr>
              <w:t>2021-0025-NAC</w:t>
            </w:r>
            <w:r w:rsidRPr="004451DA">
              <w:rPr>
                <w:b w:val="0"/>
                <w:sz w:val="20"/>
              </w:rPr>
              <w:t xml:space="preserve"> (Delaware)</w:t>
            </w:r>
          </w:p>
          <w:p w14:paraId="20D24F96" w14:textId="11CBF712" w:rsidR="00325523" w:rsidRPr="00E34829" w:rsidRDefault="00325523" w:rsidP="00325523">
            <w:pPr>
              <w:pStyle w:val="ListParagraph"/>
              <w:numPr>
                <w:ilvl w:val="1"/>
                <w:numId w:val="5"/>
              </w:numPr>
              <w:rPr>
                <w:b w:val="0"/>
                <w:sz w:val="20"/>
              </w:rPr>
            </w:pPr>
            <w:r w:rsidRPr="004451DA">
              <w:rPr>
                <w:b w:val="0"/>
                <w:sz w:val="20"/>
              </w:rPr>
              <w:t>Expert report</w:t>
            </w:r>
            <w:r>
              <w:rPr>
                <w:b w:val="0"/>
                <w:sz w:val="20"/>
              </w:rPr>
              <w:t>, rebuttal report</w:t>
            </w:r>
          </w:p>
          <w:p w14:paraId="63B31A38" w14:textId="77777777" w:rsidR="00325523" w:rsidRPr="00325523" w:rsidRDefault="00325523" w:rsidP="00325523">
            <w:pPr>
              <w:rPr>
                <w:sz w:val="20"/>
              </w:rPr>
            </w:pPr>
            <w:r w:rsidRPr="00325523">
              <w:rPr>
                <w:sz w:val="20"/>
              </w:rPr>
              <w:t>Zvi Sperling v. Jacob Sperling et al.</w:t>
            </w:r>
          </w:p>
          <w:p w14:paraId="302AA792" w14:textId="77777777" w:rsidR="00325523" w:rsidRDefault="00325523" w:rsidP="00325523">
            <w:pPr>
              <w:pStyle w:val="ListParagraph"/>
              <w:numPr>
                <w:ilvl w:val="0"/>
                <w:numId w:val="5"/>
              </w:numPr>
              <w:rPr>
                <w:b w:val="0"/>
                <w:bCs/>
                <w:sz w:val="20"/>
              </w:rPr>
            </w:pPr>
            <w:r w:rsidRPr="00325523">
              <w:rPr>
                <w:b w:val="0"/>
                <w:bCs/>
                <w:sz w:val="20"/>
              </w:rPr>
              <w:t>Case No. 21STCV37502 (California)</w:t>
            </w:r>
          </w:p>
          <w:p w14:paraId="0240BC32" w14:textId="449B9A91" w:rsidR="00325523" w:rsidRPr="00325523" w:rsidRDefault="00325523" w:rsidP="00325523">
            <w:pPr>
              <w:pStyle w:val="ListParagraph"/>
              <w:numPr>
                <w:ilvl w:val="1"/>
                <w:numId w:val="5"/>
              </w:numPr>
              <w:rPr>
                <w:b w:val="0"/>
                <w:bCs/>
                <w:sz w:val="20"/>
              </w:rPr>
            </w:pPr>
            <w:r w:rsidRPr="00325523">
              <w:rPr>
                <w:b w:val="0"/>
                <w:bCs/>
                <w:sz w:val="20"/>
              </w:rPr>
              <w:t>Deposition</w:t>
            </w:r>
          </w:p>
          <w:p w14:paraId="088086C9" w14:textId="77777777" w:rsidR="00325523" w:rsidRPr="00325523" w:rsidRDefault="00325523" w:rsidP="00325523">
            <w:pPr>
              <w:rPr>
                <w:sz w:val="20"/>
              </w:rPr>
            </w:pPr>
            <w:r w:rsidRPr="00325523">
              <w:rPr>
                <w:sz w:val="20"/>
              </w:rPr>
              <w:t>Steves and Sons, Inc. v. JELD-WEN, Inc.</w:t>
            </w:r>
          </w:p>
          <w:p w14:paraId="048AE97D" w14:textId="77777777" w:rsidR="00325523" w:rsidRDefault="00325523" w:rsidP="00325523">
            <w:pPr>
              <w:pStyle w:val="ListParagraph"/>
              <w:numPr>
                <w:ilvl w:val="0"/>
                <w:numId w:val="5"/>
              </w:numPr>
              <w:rPr>
                <w:b w:val="0"/>
                <w:bCs/>
                <w:sz w:val="20"/>
              </w:rPr>
            </w:pPr>
            <w:r w:rsidRPr="00325523">
              <w:rPr>
                <w:b w:val="0"/>
                <w:bCs/>
                <w:sz w:val="20"/>
              </w:rPr>
              <w:t>Case No. 3:16-cv-545 (East Virginia)</w:t>
            </w:r>
          </w:p>
          <w:p w14:paraId="75CEF435" w14:textId="3F15BF98" w:rsidR="00325523" w:rsidRPr="00325523" w:rsidRDefault="00325523" w:rsidP="00325523">
            <w:pPr>
              <w:pStyle w:val="ListParagraph"/>
              <w:numPr>
                <w:ilvl w:val="1"/>
                <w:numId w:val="5"/>
              </w:numPr>
              <w:rPr>
                <w:b w:val="0"/>
                <w:bCs/>
                <w:sz w:val="20"/>
              </w:rPr>
            </w:pPr>
            <w:r w:rsidRPr="00325523">
              <w:rPr>
                <w:b w:val="0"/>
                <w:bCs/>
                <w:sz w:val="20"/>
              </w:rPr>
              <w:t>Expert reports, Deposition</w:t>
            </w:r>
          </w:p>
          <w:p w14:paraId="3F9BE2CF" w14:textId="2473EEB8" w:rsidR="003C38D5" w:rsidRDefault="003C38D5" w:rsidP="004451DA">
            <w:pPr>
              <w:rPr>
                <w:sz w:val="20"/>
              </w:rPr>
            </w:pPr>
            <w:r>
              <w:rPr>
                <w:sz w:val="20"/>
              </w:rPr>
              <w:t>Confidential Arbitration Matter</w:t>
            </w:r>
          </w:p>
          <w:p w14:paraId="4D325CE9" w14:textId="07FE214F" w:rsidR="003C38D5" w:rsidRDefault="003C38D5" w:rsidP="003C38D5">
            <w:pPr>
              <w:pStyle w:val="ListParagraph"/>
              <w:numPr>
                <w:ilvl w:val="0"/>
                <w:numId w:val="5"/>
              </w:numPr>
              <w:rPr>
                <w:b w:val="0"/>
                <w:bCs/>
                <w:sz w:val="20"/>
              </w:rPr>
            </w:pPr>
            <w:r w:rsidRPr="003C38D5">
              <w:rPr>
                <w:b w:val="0"/>
                <w:bCs/>
                <w:sz w:val="20"/>
              </w:rPr>
              <w:t>New York District</w:t>
            </w:r>
          </w:p>
          <w:p w14:paraId="1DFDE546" w14:textId="135CE03F" w:rsidR="003C38D5" w:rsidRPr="003C38D5" w:rsidRDefault="003C38D5" w:rsidP="003C38D5">
            <w:pPr>
              <w:pStyle w:val="ListParagraph"/>
              <w:numPr>
                <w:ilvl w:val="1"/>
                <w:numId w:val="5"/>
              </w:numPr>
              <w:rPr>
                <w:b w:val="0"/>
                <w:sz w:val="20"/>
              </w:rPr>
            </w:pPr>
            <w:r w:rsidRPr="004451DA">
              <w:rPr>
                <w:b w:val="0"/>
                <w:sz w:val="20"/>
              </w:rPr>
              <w:t>Expert report</w:t>
            </w:r>
            <w:r>
              <w:rPr>
                <w:b w:val="0"/>
                <w:sz w:val="20"/>
              </w:rPr>
              <w:t>, Deposition, Trial testimony</w:t>
            </w:r>
          </w:p>
          <w:p w14:paraId="5E8EF5F4" w14:textId="18A651C6" w:rsidR="00E34829" w:rsidRDefault="00E34829" w:rsidP="004451DA">
            <w:pPr>
              <w:rPr>
                <w:sz w:val="20"/>
              </w:rPr>
            </w:pPr>
            <w:r>
              <w:rPr>
                <w:sz w:val="20"/>
              </w:rPr>
              <w:t>Hyde Park Venture Partners Fund I</w:t>
            </w:r>
            <w:r w:rsidRPr="00E34829">
              <w:rPr>
                <w:sz w:val="20"/>
              </w:rPr>
              <w:t>II</w:t>
            </w:r>
            <w:r>
              <w:rPr>
                <w:sz w:val="20"/>
              </w:rPr>
              <w:t xml:space="preserve"> et al v. FAIRXCHANGE, LLC. </w:t>
            </w:r>
          </w:p>
          <w:p w14:paraId="4D2A0E1B" w14:textId="77C8C627" w:rsidR="00E34829" w:rsidRDefault="00E34829" w:rsidP="003C38D5">
            <w:pPr>
              <w:pStyle w:val="ListParagraph"/>
              <w:numPr>
                <w:ilvl w:val="0"/>
                <w:numId w:val="5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</w:t>
            </w:r>
            <w:r w:rsidRPr="004451DA">
              <w:rPr>
                <w:b w:val="0"/>
                <w:sz w:val="20"/>
              </w:rPr>
              <w:t xml:space="preserve">ase No. </w:t>
            </w:r>
            <w:r w:rsidRPr="00E34829">
              <w:rPr>
                <w:b w:val="0"/>
                <w:sz w:val="20"/>
              </w:rPr>
              <w:t>2022-0344-JTL</w:t>
            </w:r>
            <w:r w:rsidRPr="004451DA">
              <w:rPr>
                <w:b w:val="0"/>
                <w:sz w:val="20"/>
              </w:rPr>
              <w:t xml:space="preserve"> (Delaware)</w:t>
            </w:r>
          </w:p>
          <w:p w14:paraId="39C794F7" w14:textId="3EB67B59" w:rsidR="00E34829" w:rsidRPr="00E34829" w:rsidRDefault="00E34829" w:rsidP="003C38D5">
            <w:pPr>
              <w:pStyle w:val="ListParagraph"/>
              <w:numPr>
                <w:ilvl w:val="1"/>
                <w:numId w:val="5"/>
              </w:numPr>
              <w:rPr>
                <w:b w:val="0"/>
                <w:sz w:val="20"/>
              </w:rPr>
            </w:pPr>
            <w:r w:rsidRPr="004451DA">
              <w:rPr>
                <w:b w:val="0"/>
                <w:sz w:val="20"/>
              </w:rPr>
              <w:t>Expert report</w:t>
            </w:r>
            <w:r w:rsidR="00DD47BA">
              <w:rPr>
                <w:b w:val="0"/>
                <w:sz w:val="20"/>
              </w:rPr>
              <w:t>, Deposition, Trial testimony</w:t>
            </w:r>
          </w:p>
          <w:p w14:paraId="3B70B7E1" w14:textId="597DAB69" w:rsidR="00E34829" w:rsidRDefault="00E34829" w:rsidP="004451DA">
            <w:pPr>
              <w:rPr>
                <w:sz w:val="20"/>
              </w:rPr>
            </w:pPr>
            <w:r>
              <w:rPr>
                <w:sz w:val="20"/>
              </w:rPr>
              <w:t>Pattern Energy Group Inc. Stockholder Litigation</w:t>
            </w:r>
          </w:p>
          <w:p w14:paraId="1B7EB7DB" w14:textId="2C46A470" w:rsidR="00E34829" w:rsidRDefault="00E34829" w:rsidP="003C38D5">
            <w:pPr>
              <w:pStyle w:val="ListParagraph"/>
              <w:numPr>
                <w:ilvl w:val="0"/>
                <w:numId w:val="5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</w:t>
            </w:r>
            <w:r w:rsidRPr="004451DA">
              <w:rPr>
                <w:b w:val="0"/>
                <w:sz w:val="20"/>
              </w:rPr>
              <w:t xml:space="preserve">ase No. </w:t>
            </w:r>
            <w:r w:rsidRPr="00E34829">
              <w:rPr>
                <w:b w:val="0"/>
                <w:sz w:val="20"/>
              </w:rPr>
              <w:t>2020-0357-MTZ</w:t>
            </w:r>
            <w:r w:rsidRPr="004451DA">
              <w:rPr>
                <w:b w:val="0"/>
                <w:sz w:val="20"/>
              </w:rPr>
              <w:t xml:space="preserve"> (Delaware)</w:t>
            </w:r>
          </w:p>
          <w:p w14:paraId="5485AEB2" w14:textId="2AD8F461" w:rsidR="00E34829" w:rsidRPr="00E34829" w:rsidRDefault="00E34829" w:rsidP="003C38D5">
            <w:pPr>
              <w:pStyle w:val="ListParagraph"/>
              <w:numPr>
                <w:ilvl w:val="1"/>
                <w:numId w:val="5"/>
              </w:numPr>
              <w:rPr>
                <w:b w:val="0"/>
                <w:sz w:val="20"/>
              </w:rPr>
            </w:pPr>
            <w:r w:rsidRPr="004451DA">
              <w:rPr>
                <w:b w:val="0"/>
                <w:sz w:val="20"/>
              </w:rPr>
              <w:t>Expert report</w:t>
            </w:r>
          </w:p>
          <w:p w14:paraId="4C5BA29A" w14:textId="6C66B668" w:rsidR="004451DA" w:rsidRDefault="004451DA" w:rsidP="004451DA">
            <w:pPr>
              <w:rPr>
                <w:sz w:val="20"/>
              </w:rPr>
            </w:pPr>
            <w:r w:rsidRPr="004451DA">
              <w:rPr>
                <w:sz w:val="20"/>
              </w:rPr>
              <w:t>Mindbody Inc. Stockholder Litigation</w:t>
            </w:r>
          </w:p>
          <w:p w14:paraId="323F4F39" w14:textId="77777777" w:rsidR="004451DA" w:rsidRDefault="004451DA" w:rsidP="003C38D5">
            <w:pPr>
              <w:pStyle w:val="ListParagraph"/>
              <w:numPr>
                <w:ilvl w:val="0"/>
                <w:numId w:val="5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</w:t>
            </w:r>
            <w:r w:rsidRPr="004451DA">
              <w:rPr>
                <w:b w:val="0"/>
                <w:sz w:val="20"/>
              </w:rPr>
              <w:t>ase No. 2019-0442-KSJM (Delaware)</w:t>
            </w:r>
          </w:p>
          <w:p w14:paraId="1D895858" w14:textId="013F4370" w:rsidR="004451DA" w:rsidRPr="004451DA" w:rsidRDefault="004451DA" w:rsidP="003C38D5">
            <w:pPr>
              <w:pStyle w:val="ListParagraph"/>
              <w:numPr>
                <w:ilvl w:val="1"/>
                <w:numId w:val="5"/>
              </w:numPr>
              <w:rPr>
                <w:b w:val="0"/>
                <w:sz w:val="20"/>
              </w:rPr>
            </w:pPr>
            <w:r w:rsidRPr="004451DA">
              <w:rPr>
                <w:b w:val="0"/>
                <w:sz w:val="20"/>
              </w:rPr>
              <w:t>Expert report, Deposition</w:t>
            </w:r>
            <w:r w:rsidR="009E6652">
              <w:rPr>
                <w:b w:val="0"/>
                <w:sz w:val="20"/>
              </w:rPr>
              <w:t>, Trial testimony</w:t>
            </w:r>
          </w:p>
          <w:p w14:paraId="14CEAD92" w14:textId="6B0442F3" w:rsidR="00894309" w:rsidRDefault="00894309" w:rsidP="00DE3C5A">
            <w:pPr>
              <w:rPr>
                <w:sz w:val="20"/>
              </w:rPr>
            </w:pPr>
            <w:r>
              <w:rPr>
                <w:sz w:val="20"/>
              </w:rPr>
              <w:t>VLSI Technology, LLC, v. Intel Corporation</w:t>
            </w:r>
          </w:p>
          <w:p w14:paraId="0C51F4F8" w14:textId="265A0A8B" w:rsidR="00894309" w:rsidRPr="00894309" w:rsidRDefault="00894309" w:rsidP="003C38D5">
            <w:pPr>
              <w:pStyle w:val="ListParagraph"/>
              <w:numPr>
                <w:ilvl w:val="0"/>
                <w:numId w:val="5"/>
              </w:numPr>
              <w:rPr>
                <w:b w:val="0"/>
                <w:sz w:val="20"/>
              </w:rPr>
            </w:pPr>
            <w:r w:rsidRPr="00894309">
              <w:rPr>
                <w:b w:val="0"/>
                <w:sz w:val="20"/>
              </w:rPr>
              <w:t>Case Nos. 1:19-cv-977, 6:19-cv-254, 6:19-cv-255, 6:19-cv-256</w:t>
            </w:r>
            <w:r>
              <w:rPr>
                <w:b w:val="0"/>
                <w:sz w:val="20"/>
              </w:rPr>
              <w:t xml:space="preserve"> (West Texas)</w:t>
            </w:r>
          </w:p>
          <w:p w14:paraId="59403DC6" w14:textId="030FB2FB" w:rsidR="00894309" w:rsidRDefault="00894309" w:rsidP="003C38D5">
            <w:pPr>
              <w:pStyle w:val="ListParagraph"/>
              <w:numPr>
                <w:ilvl w:val="1"/>
                <w:numId w:val="5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Expert Report, Deposition</w:t>
            </w:r>
          </w:p>
          <w:p w14:paraId="7304326F" w14:textId="3F720DA3" w:rsidR="00894309" w:rsidRDefault="00AF2A94" w:rsidP="003C38D5">
            <w:pPr>
              <w:pStyle w:val="ListParagraph"/>
              <w:numPr>
                <w:ilvl w:val="0"/>
                <w:numId w:val="5"/>
              </w:numPr>
              <w:rPr>
                <w:b w:val="0"/>
                <w:sz w:val="20"/>
              </w:rPr>
            </w:pPr>
            <w:r w:rsidRPr="00AF2A94">
              <w:rPr>
                <w:b w:val="0"/>
                <w:sz w:val="20"/>
              </w:rPr>
              <w:t>Case No. 18-cv-966</w:t>
            </w:r>
            <w:r>
              <w:rPr>
                <w:b w:val="0"/>
                <w:sz w:val="20"/>
              </w:rPr>
              <w:t xml:space="preserve"> (Delaware)</w:t>
            </w:r>
          </w:p>
          <w:p w14:paraId="511CE954" w14:textId="106A8299" w:rsidR="00AF2A94" w:rsidRPr="00894309" w:rsidRDefault="00AF2A94" w:rsidP="003C38D5">
            <w:pPr>
              <w:pStyle w:val="ListParagraph"/>
              <w:numPr>
                <w:ilvl w:val="1"/>
                <w:numId w:val="5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>Expert Report, Deposition</w:t>
            </w:r>
          </w:p>
          <w:p w14:paraId="43BD4C68" w14:textId="3BADC797" w:rsidR="00894309" w:rsidRDefault="00894309" w:rsidP="00DE3C5A">
            <w:pPr>
              <w:rPr>
                <w:sz w:val="20"/>
              </w:rPr>
            </w:pPr>
          </w:p>
        </w:tc>
        <w:tc>
          <w:tcPr>
            <w:tcW w:w="1530" w:type="dxa"/>
            <w:gridSpan w:val="3"/>
          </w:tcPr>
          <w:p w14:paraId="12337753" w14:textId="77777777" w:rsidR="00894309" w:rsidRDefault="00894309" w:rsidP="00DE3C5A">
            <w:pPr>
              <w:jc w:val="right"/>
              <w:rPr>
                <w:sz w:val="20"/>
              </w:rPr>
            </w:pPr>
          </w:p>
          <w:p w14:paraId="44738D5A" w14:textId="77777777" w:rsidR="006B7D3B" w:rsidRPr="006B7D3B" w:rsidRDefault="006B7D3B" w:rsidP="006B7D3B">
            <w:pPr>
              <w:rPr>
                <w:sz w:val="20"/>
              </w:rPr>
            </w:pPr>
          </w:p>
          <w:p w14:paraId="1FC48FDD" w14:textId="77777777" w:rsidR="006B7D3B" w:rsidRPr="006B7D3B" w:rsidRDefault="006B7D3B" w:rsidP="006B7D3B">
            <w:pPr>
              <w:rPr>
                <w:sz w:val="20"/>
              </w:rPr>
            </w:pPr>
          </w:p>
          <w:p w14:paraId="09294E17" w14:textId="77777777" w:rsidR="006B7D3B" w:rsidRPr="006B7D3B" w:rsidRDefault="006B7D3B" w:rsidP="006B7D3B">
            <w:pPr>
              <w:rPr>
                <w:sz w:val="20"/>
              </w:rPr>
            </w:pPr>
          </w:p>
          <w:p w14:paraId="39893529" w14:textId="77777777" w:rsidR="006B7D3B" w:rsidRPr="006B7D3B" w:rsidRDefault="006B7D3B" w:rsidP="006B7D3B">
            <w:pPr>
              <w:rPr>
                <w:sz w:val="20"/>
              </w:rPr>
            </w:pPr>
          </w:p>
          <w:p w14:paraId="467982A6" w14:textId="77777777" w:rsidR="006B7D3B" w:rsidRPr="006B7D3B" w:rsidRDefault="006B7D3B" w:rsidP="006B7D3B">
            <w:pPr>
              <w:rPr>
                <w:sz w:val="20"/>
              </w:rPr>
            </w:pPr>
          </w:p>
          <w:p w14:paraId="1BFA47A3" w14:textId="77777777" w:rsidR="006B7D3B" w:rsidRPr="006B7D3B" w:rsidRDefault="006B7D3B" w:rsidP="006B7D3B">
            <w:pPr>
              <w:rPr>
                <w:sz w:val="20"/>
              </w:rPr>
            </w:pPr>
          </w:p>
          <w:p w14:paraId="3610A045" w14:textId="77777777" w:rsidR="006B7D3B" w:rsidRPr="006B7D3B" w:rsidRDefault="006B7D3B" w:rsidP="006B7D3B">
            <w:pPr>
              <w:rPr>
                <w:sz w:val="20"/>
              </w:rPr>
            </w:pPr>
          </w:p>
          <w:p w14:paraId="7A5483B2" w14:textId="77777777" w:rsidR="006B7D3B" w:rsidRPr="006B7D3B" w:rsidRDefault="006B7D3B" w:rsidP="006B7D3B">
            <w:pPr>
              <w:rPr>
                <w:sz w:val="20"/>
              </w:rPr>
            </w:pPr>
          </w:p>
          <w:p w14:paraId="08710193" w14:textId="77777777" w:rsidR="006B7D3B" w:rsidRPr="006B7D3B" w:rsidRDefault="006B7D3B" w:rsidP="006B7D3B">
            <w:pPr>
              <w:rPr>
                <w:sz w:val="20"/>
              </w:rPr>
            </w:pPr>
          </w:p>
          <w:p w14:paraId="6B748931" w14:textId="77777777" w:rsidR="006B7D3B" w:rsidRPr="006B7D3B" w:rsidRDefault="006B7D3B" w:rsidP="006B7D3B">
            <w:pPr>
              <w:rPr>
                <w:sz w:val="20"/>
              </w:rPr>
            </w:pPr>
          </w:p>
          <w:p w14:paraId="14F1C371" w14:textId="77777777" w:rsidR="006B7D3B" w:rsidRPr="006B7D3B" w:rsidRDefault="006B7D3B" w:rsidP="006B7D3B">
            <w:pPr>
              <w:rPr>
                <w:sz w:val="20"/>
              </w:rPr>
            </w:pPr>
          </w:p>
          <w:p w14:paraId="47553ABB" w14:textId="77777777" w:rsidR="006B7D3B" w:rsidRPr="006B7D3B" w:rsidRDefault="006B7D3B" w:rsidP="006B7D3B">
            <w:pPr>
              <w:rPr>
                <w:sz w:val="20"/>
              </w:rPr>
            </w:pPr>
          </w:p>
          <w:p w14:paraId="3EEDFE30" w14:textId="77777777" w:rsidR="006B7D3B" w:rsidRPr="006B7D3B" w:rsidRDefault="006B7D3B" w:rsidP="006B7D3B">
            <w:pPr>
              <w:rPr>
                <w:sz w:val="20"/>
              </w:rPr>
            </w:pPr>
          </w:p>
          <w:p w14:paraId="0886B7F0" w14:textId="77777777" w:rsidR="006B7D3B" w:rsidRPr="006B7D3B" w:rsidRDefault="006B7D3B" w:rsidP="006B7D3B">
            <w:pPr>
              <w:rPr>
                <w:sz w:val="20"/>
              </w:rPr>
            </w:pPr>
          </w:p>
          <w:p w14:paraId="63E84853" w14:textId="77777777" w:rsidR="006B7D3B" w:rsidRPr="006B7D3B" w:rsidRDefault="006B7D3B" w:rsidP="006B7D3B">
            <w:pPr>
              <w:rPr>
                <w:sz w:val="20"/>
              </w:rPr>
            </w:pPr>
          </w:p>
          <w:p w14:paraId="5FC2F544" w14:textId="77777777" w:rsidR="006B7D3B" w:rsidRPr="006B7D3B" w:rsidRDefault="006B7D3B" w:rsidP="006B7D3B">
            <w:pPr>
              <w:rPr>
                <w:sz w:val="20"/>
              </w:rPr>
            </w:pPr>
          </w:p>
          <w:p w14:paraId="48629FFF" w14:textId="77777777" w:rsidR="006B7D3B" w:rsidRPr="006B7D3B" w:rsidRDefault="006B7D3B" w:rsidP="006B7D3B">
            <w:pPr>
              <w:rPr>
                <w:sz w:val="20"/>
              </w:rPr>
            </w:pPr>
          </w:p>
          <w:p w14:paraId="5517956D" w14:textId="77777777" w:rsidR="006B7D3B" w:rsidRPr="006B7D3B" w:rsidRDefault="006B7D3B" w:rsidP="006B7D3B">
            <w:pPr>
              <w:rPr>
                <w:sz w:val="20"/>
              </w:rPr>
            </w:pPr>
          </w:p>
          <w:p w14:paraId="2CFD2CF3" w14:textId="77777777" w:rsidR="006B7D3B" w:rsidRPr="006B7D3B" w:rsidRDefault="006B7D3B" w:rsidP="006B7D3B">
            <w:pPr>
              <w:rPr>
                <w:sz w:val="20"/>
              </w:rPr>
            </w:pPr>
          </w:p>
          <w:p w14:paraId="575C09BB" w14:textId="77777777" w:rsidR="006B7D3B" w:rsidRPr="006B7D3B" w:rsidRDefault="006B7D3B" w:rsidP="006B7D3B">
            <w:pPr>
              <w:rPr>
                <w:sz w:val="20"/>
              </w:rPr>
            </w:pPr>
          </w:p>
          <w:p w14:paraId="4DB77290" w14:textId="77777777" w:rsidR="006B7D3B" w:rsidRPr="006B7D3B" w:rsidRDefault="006B7D3B" w:rsidP="006B7D3B">
            <w:pPr>
              <w:rPr>
                <w:sz w:val="20"/>
              </w:rPr>
            </w:pPr>
          </w:p>
          <w:p w14:paraId="164BDF99" w14:textId="77777777" w:rsidR="006B7D3B" w:rsidRPr="006B7D3B" w:rsidRDefault="006B7D3B" w:rsidP="006B7D3B">
            <w:pPr>
              <w:rPr>
                <w:sz w:val="20"/>
              </w:rPr>
            </w:pPr>
          </w:p>
          <w:p w14:paraId="295D6B21" w14:textId="77777777" w:rsidR="006B7D3B" w:rsidRPr="006B7D3B" w:rsidRDefault="006B7D3B" w:rsidP="006B7D3B">
            <w:pPr>
              <w:rPr>
                <w:sz w:val="20"/>
              </w:rPr>
            </w:pPr>
          </w:p>
          <w:p w14:paraId="58A80085" w14:textId="77777777" w:rsidR="006B7D3B" w:rsidRPr="006B7D3B" w:rsidRDefault="006B7D3B" w:rsidP="006B7D3B">
            <w:pPr>
              <w:rPr>
                <w:sz w:val="20"/>
              </w:rPr>
            </w:pPr>
          </w:p>
          <w:p w14:paraId="78067307" w14:textId="77777777" w:rsidR="006B7D3B" w:rsidRPr="006B7D3B" w:rsidRDefault="006B7D3B" w:rsidP="006B7D3B">
            <w:pPr>
              <w:rPr>
                <w:sz w:val="20"/>
              </w:rPr>
            </w:pPr>
          </w:p>
          <w:p w14:paraId="503CEC91" w14:textId="77777777" w:rsidR="006B7D3B" w:rsidRPr="006B7D3B" w:rsidRDefault="006B7D3B" w:rsidP="006B7D3B">
            <w:pPr>
              <w:rPr>
                <w:sz w:val="20"/>
              </w:rPr>
            </w:pPr>
          </w:p>
          <w:p w14:paraId="278B8030" w14:textId="77777777" w:rsidR="006B7D3B" w:rsidRDefault="006B7D3B" w:rsidP="006B7D3B">
            <w:pPr>
              <w:rPr>
                <w:sz w:val="20"/>
              </w:rPr>
            </w:pPr>
          </w:p>
          <w:p w14:paraId="50290699" w14:textId="77777777" w:rsidR="006B7D3B" w:rsidRPr="006B7D3B" w:rsidRDefault="006B7D3B" w:rsidP="006B7D3B">
            <w:pPr>
              <w:jc w:val="center"/>
              <w:rPr>
                <w:sz w:val="20"/>
              </w:rPr>
            </w:pPr>
          </w:p>
        </w:tc>
      </w:tr>
      <w:tr w:rsidR="00B94F16" w:rsidRPr="00B07082" w14:paraId="79036A4E" w14:textId="77777777" w:rsidTr="00AF2A94">
        <w:tc>
          <w:tcPr>
            <w:tcW w:w="1451" w:type="dxa"/>
          </w:tcPr>
          <w:p w14:paraId="250F0E79" w14:textId="77777777" w:rsidR="00B94F16" w:rsidRDefault="00B94F16" w:rsidP="005C350B">
            <w:pPr>
              <w:rPr>
                <w:b w:val="0"/>
                <w:sz w:val="20"/>
              </w:rPr>
            </w:pPr>
          </w:p>
        </w:tc>
        <w:tc>
          <w:tcPr>
            <w:tcW w:w="7171" w:type="dxa"/>
            <w:gridSpan w:val="3"/>
          </w:tcPr>
          <w:p w14:paraId="4DAAEDFB" w14:textId="77777777" w:rsidR="00B94F16" w:rsidRDefault="00B94F16" w:rsidP="00DE3C5A">
            <w:pPr>
              <w:rPr>
                <w:sz w:val="20"/>
              </w:rPr>
            </w:pPr>
          </w:p>
        </w:tc>
        <w:tc>
          <w:tcPr>
            <w:tcW w:w="1530" w:type="dxa"/>
            <w:gridSpan w:val="3"/>
          </w:tcPr>
          <w:p w14:paraId="31788E9A" w14:textId="77777777" w:rsidR="00B94F16" w:rsidRDefault="00B94F16" w:rsidP="00DE3C5A">
            <w:pPr>
              <w:jc w:val="right"/>
              <w:rPr>
                <w:sz w:val="20"/>
              </w:rPr>
            </w:pPr>
          </w:p>
        </w:tc>
      </w:tr>
      <w:tr w:rsidR="005C350B" w:rsidRPr="00B07082" w14:paraId="33645C5F" w14:textId="77777777" w:rsidTr="00AF2A94">
        <w:tc>
          <w:tcPr>
            <w:tcW w:w="1451" w:type="dxa"/>
          </w:tcPr>
          <w:p w14:paraId="23D23BF8" w14:textId="10881B87" w:rsidR="005C350B" w:rsidRPr="00B07082" w:rsidRDefault="005C350B" w:rsidP="005C350B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2014 – </w:t>
            </w:r>
            <w:r w:rsidR="00695E3D">
              <w:rPr>
                <w:b w:val="0"/>
                <w:sz w:val="20"/>
              </w:rPr>
              <w:t>2025</w:t>
            </w:r>
          </w:p>
        </w:tc>
        <w:tc>
          <w:tcPr>
            <w:tcW w:w="7171" w:type="dxa"/>
            <w:gridSpan w:val="3"/>
          </w:tcPr>
          <w:p w14:paraId="53536AD7" w14:textId="77777777" w:rsidR="005C350B" w:rsidRDefault="005C350B" w:rsidP="00DE3C5A">
            <w:pPr>
              <w:rPr>
                <w:sz w:val="20"/>
              </w:rPr>
            </w:pPr>
            <w:r>
              <w:rPr>
                <w:sz w:val="20"/>
              </w:rPr>
              <w:t>VISTA POINT ADVISORS</w:t>
            </w:r>
          </w:p>
          <w:p w14:paraId="42369A77" w14:textId="77777777" w:rsidR="005C350B" w:rsidRPr="00B07082" w:rsidRDefault="005C350B" w:rsidP="005C350B">
            <w:pPr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>Managing Director and Head of East Coast Investment Banking</w:t>
            </w:r>
          </w:p>
        </w:tc>
        <w:tc>
          <w:tcPr>
            <w:tcW w:w="1530" w:type="dxa"/>
            <w:gridSpan w:val="3"/>
          </w:tcPr>
          <w:p w14:paraId="43D09156" w14:textId="77777777" w:rsidR="005C350B" w:rsidRPr="00B07082" w:rsidRDefault="005C350B" w:rsidP="00DE3C5A">
            <w:pPr>
              <w:jc w:val="right"/>
              <w:rPr>
                <w:sz w:val="20"/>
              </w:rPr>
            </w:pPr>
            <w:r>
              <w:rPr>
                <w:sz w:val="20"/>
              </w:rPr>
              <w:t>New York</w:t>
            </w:r>
            <w:r w:rsidRPr="00B07082">
              <w:rPr>
                <w:sz w:val="20"/>
              </w:rPr>
              <w:t>, NY</w:t>
            </w:r>
          </w:p>
        </w:tc>
      </w:tr>
      <w:tr w:rsidR="00185986" w:rsidRPr="00B07082" w14:paraId="5D65C291" w14:textId="77777777" w:rsidTr="008E629F">
        <w:tc>
          <w:tcPr>
            <w:tcW w:w="1451" w:type="dxa"/>
          </w:tcPr>
          <w:p w14:paraId="2C3870F8" w14:textId="77777777" w:rsidR="00185986" w:rsidRPr="00B07082" w:rsidRDefault="00185986" w:rsidP="005C350B">
            <w:pPr>
              <w:rPr>
                <w:b w:val="0"/>
                <w:sz w:val="20"/>
              </w:rPr>
            </w:pPr>
          </w:p>
        </w:tc>
        <w:tc>
          <w:tcPr>
            <w:tcW w:w="8701" w:type="dxa"/>
            <w:gridSpan w:val="6"/>
          </w:tcPr>
          <w:p w14:paraId="0C52A660" w14:textId="77777777" w:rsidR="00185986" w:rsidRDefault="00185986" w:rsidP="00FE79CB">
            <w:pPr>
              <w:rPr>
                <w:sz w:val="20"/>
              </w:rPr>
            </w:pPr>
          </w:p>
          <w:p w14:paraId="59C560E7" w14:textId="77777777" w:rsidR="00185986" w:rsidRPr="005C350B" w:rsidRDefault="00185986" w:rsidP="00FE79CB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Senior advisor to technology clients on strategic and capital raising transactions. </w:t>
            </w:r>
          </w:p>
          <w:p w14:paraId="04236852" w14:textId="77777777" w:rsidR="00185986" w:rsidRPr="00B07082" w:rsidRDefault="00185986" w:rsidP="00FE79CB">
            <w:pPr>
              <w:jc w:val="right"/>
              <w:rPr>
                <w:sz w:val="20"/>
              </w:rPr>
            </w:pPr>
          </w:p>
        </w:tc>
      </w:tr>
      <w:tr w:rsidR="005C350B" w:rsidRPr="00B07082" w14:paraId="3B481C67" w14:textId="77777777" w:rsidTr="008E629F">
        <w:tc>
          <w:tcPr>
            <w:tcW w:w="1451" w:type="dxa"/>
          </w:tcPr>
          <w:p w14:paraId="23E61808" w14:textId="77777777" w:rsidR="005C350B" w:rsidRPr="00B07082" w:rsidRDefault="005C350B" w:rsidP="005C350B">
            <w:pPr>
              <w:rPr>
                <w:b w:val="0"/>
                <w:sz w:val="20"/>
                <w:lang w:val="nb-NO"/>
              </w:rPr>
            </w:pPr>
            <w:r w:rsidRPr="00B07082">
              <w:rPr>
                <w:b w:val="0"/>
                <w:sz w:val="20"/>
              </w:rPr>
              <w:t xml:space="preserve">2010 </w:t>
            </w:r>
            <w:r>
              <w:rPr>
                <w:b w:val="0"/>
                <w:sz w:val="20"/>
              </w:rPr>
              <w:t>–</w:t>
            </w:r>
            <w:r w:rsidRPr="00B07082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2014</w:t>
            </w:r>
          </w:p>
        </w:tc>
        <w:tc>
          <w:tcPr>
            <w:tcW w:w="6297" w:type="dxa"/>
            <w:gridSpan w:val="2"/>
          </w:tcPr>
          <w:p w14:paraId="4D34BF33" w14:textId="77777777" w:rsidR="005C350B" w:rsidRPr="00B07082" w:rsidRDefault="005C350B" w:rsidP="00FE79CB">
            <w:pPr>
              <w:rPr>
                <w:sz w:val="20"/>
              </w:rPr>
            </w:pPr>
            <w:r w:rsidRPr="00B07082">
              <w:rPr>
                <w:sz w:val="20"/>
              </w:rPr>
              <w:t>GILLETTE AVENUE ENTERPRISES</w:t>
            </w:r>
            <w:r w:rsidRPr="00B07082">
              <w:rPr>
                <w:sz w:val="20"/>
              </w:rPr>
              <w:tab/>
            </w:r>
          </w:p>
          <w:p w14:paraId="7B97EEA0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  <w:r w:rsidRPr="00B07082">
              <w:rPr>
                <w:b w:val="0"/>
                <w:i/>
                <w:iCs/>
                <w:sz w:val="20"/>
              </w:rPr>
              <w:t>General Partner, Technical Trader</w:t>
            </w:r>
          </w:p>
        </w:tc>
        <w:tc>
          <w:tcPr>
            <w:tcW w:w="2404" w:type="dxa"/>
            <w:gridSpan w:val="4"/>
          </w:tcPr>
          <w:p w14:paraId="0EAA6DEF" w14:textId="77777777" w:rsidR="005C350B" w:rsidRPr="00B07082" w:rsidRDefault="005C350B" w:rsidP="00FE79CB">
            <w:pPr>
              <w:jc w:val="right"/>
              <w:rPr>
                <w:b w:val="0"/>
                <w:sz w:val="20"/>
                <w:lang w:val="nb-NO"/>
              </w:rPr>
            </w:pPr>
            <w:r w:rsidRPr="00B07082">
              <w:rPr>
                <w:sz w:val="20"/>
              </w:rPr>
              <w:t>New York &amp; Ithaca, NY</w:t>
            </w:r>
          </w:p>
        </w:tc>
      </w:tr>
      <w:tr w:rsidR="005C350B" w:rsidRPr="00B07082" w14:paraId="42941D22" w14:textId="77777777" w:rsidTr="008E629F">
        <w:tc>
          <w:tcPr>
            <w:tcW w:w="1451" w:type="dxa"/>
          </w:tcPr>
          <w:p w14:paraId="58766632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</w:p>
        </w:tc>
        <w:tc>
          <w:tcPr>
            <w:tcW w:w="8701" w:type="dxa"/>
            <w:gridSpan w:val="6"/>
          </w:tcPr>
          <w:p w14:paraId="513B70A4" w14:textId="77777777" w:rsidR="005C350B" w:rsidRPr="00B07082" w:rsidRDefault="005C350B" w:rsidP="00FE79CB">
            <w:pPr>
              <w:rPr>
                <w:b w:val="0"/>
                <w:bCs/>
                <w:sz w:val="20"/>
              </w:rPr>
            </w:pPr>
          </w:p>
          <w:p w14:paraId="705D33AB" w14:textId="77777777" w:rsidR="005C350B" w:rsidRPr="00B07082" w:rsidRDefault="005C350B" w:rsidP="00D96800">
            <w:pPr>
              <w:jc w:val="both"/>
              <w:rPr>
                <w:b w:val="0"/>
                <w:sz w:val="20"/>
                <w:lang w:val="nb-NO"/>
              </w:rPr>
            </w:pPr>
            <w:r w:rsidRPr="00B07082">
              <w:rPr>
                <w:b w:val="0"/>
                <w:bCs/>
                <w:sz w:val="20"/>
              </w:rPr>
              <w:t xml:space="preserve">Active futures trader. Significant experience trading financial indices, currencies, metals, </w:t>
            </w:r>
            <w:proofErr w:type="spellStart"/>
            <w:r w:rsidRPr="00B07082">
              <w:rPr>
                <w:b w:val="0"/>
                <w:bCs/>
                <w:sz w:val="20"/>
              </w:rPr>
              <w:t>ags</w:t>
            </w:r>
            <w:proofErr w:type="spellEnd"/>
            <w:r w:rsidRPr="00B07082">
              <w:rPr>
                <w:b w:val="0"/>
                <w:bCs/>
                <w:sz w:val="20"/>
              </w:rPr>
              <w:t xml:space="preserve">, and energy on a technical basis. Develop, test, and trade mechanical and probability-based trading programs. </w:t>
            </w:r>
          </w:p>
        </w:tc>
      </w:tr>
      <w:tr w:rsidR="005C350B" w:rsidRPr="00B07082" w14:paraId="70D4B47A" w14:textId="77777777" w:rsidTr="008E629F">
        <w:tc>
          <w:tcPr>
            <w:tcW w:w="1451" w:type="dxa"/>
          </w:tcPr>
          <w:p w14:paraId="472E7E7D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</w:p>
        </w:tc>
        <w:tc>
          <w:tcPr>
            <w:tcW w:w="5376" w:type="dxa"/>
          </w:tcPr>
          <w:p w14:paraId="5DB752C8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</w:p>
        </w:tc>
        <w:tc>
          <w:tcPr>
            <w:tcW w:w="3325" w:type="dxa"/>
            <w:gridSpan w:val="5"/>
          </w:tcPr>
          <w:p w14:paraId="5CEFA689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</w:p>
        </w:tc>
      </w:tr>
      <w:tr w:rsidR="005C350B" w:rsidRPr="00B07082" w14:paraId="6084658C" w14:textId="77777777" w:rsidTr="008E629F">
        <w:tc>
          <w:tcPr>
            <w:tcW w:w="1451" w:type="dxa"/>
          </w:tcPr>
          <w:p w14:paraId="2B1C9CF0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  <w:r w:rsidRPr="00B07082">
              <w:rPr>
                <w:b w:val="0"/>
                <w:sz w:val="20"/>
              </w:rPr>
              <w:t>2001 – 2010</w:t>
            </w:r>
          </w:p>
        </w:tc>
        <w:tc>
          <w:tcPr>
            <w:tcW w:w="5376" w:type="dxa"/>
          </w:tcPr>
          <w:p w14:paraId="03BD7D55" w14:textId="77777777" w:rsidR="005C350B" w:rsidRPr="00B07082" w:rsidRDefault="005C350B" w:rsidP="00FE79CB">
            <w:pPr>
              <w:rPr>
                <w:sz w:val="20"/>
              </w:rPr>
            </w:pPr>
            <w:r w:rsidRPr="00B07082">
              <w:rPr>
                <w:sz w:val="20"/>
              </w:rPr>
              <w:t>CITIGROUP GLOBAL MARKETS INC.</w:t>
            </w:r>
          </w:p>
          <w:p w14:paraId="177DC6B3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  <w:r w:rsidRPr="00B07082">
              <w:rPr>
                <w:b w:val="0"/>
                <w:i/>
                <w:sz w:val="20"/>
              </w:rPr>
              <w:t xml:space="preserve">Director, </w:t>
            </w:r>
            <w:r w:rsidRPr="00B07082">
              <w:rPr>
                <w:b w:val="0"/>
                <w:i/>
                <w:iCs/>
                <w:sz w:val="20"/>
              </w:rPr>
              <w:t>Investment Banking (Technology Group)</w:t>
            </w:r>
          </w:p>
        </w:tc>
        <w:tc>
          <w:tcPr>
            <w:tcW w:w="3325" w:type="dxa"/>
            <w:gridSpan w:val="5"/>
          </w:tcPr>
          <w:p w14:paraId="4F3C89EF" w14:textId="77777777" w:rsidR="005C350B" w:rsidRPr="00B07082" w:rsidRDefault="005C350B" w:rsidP="00FE79CB">
            <w:pPr>
              <w:jc w:val="right"/>
              <w:rPr>
                <w:b w:val="0"/>
                <w:sz w:val="20"/>
                <w:lang w:val="nb-NO"/>
              </w:rPr>
            </w:pPr>
            <w:r w:rsidRPr="00B07082">
              <w:rPr>
                <w:sz w:val="20"/>
              </w:rPr>
              <w:t>New York, NY</w:t>
            </w:r>
          </w:p>
        </w:tc>
      </w:tr>
      <w:tr w:rsidR="005C350B" w:rsidRPr="00B07082" w14:paraId="4E1D9256" w14:textId="77777777" w:rsidTr="008E629F">
        <w:tc>
          <w:tcPr>
            <w:tcW w:w="1451" w:type="dxa"/>
          </w:tcPr>
          <w:p w14:paraId="52388FE3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</w:p>
        </w:tc>
        <w:tc>
          <w:tcPr>
            <w:tcW w:w="8701" w:type="dxa"/>
            <w:gridSpan w:val="6"/>
          </w:tcPr>
          <w:p w14:paraId="5EF4E41C" w14:textId="77777777" w:rsidR="005C350B" w:rsidRPr="00B07082" w:rsidRDefault="005C350B" w:rsidP="00FE79CB">
            <w:pPr>
              <w:jc w:val="both"/>
              <w:rPr>
                <w:b w:val="0"/>
                <w:sz w:val="20"/>
              </w:rPr>
            </w:pPr>
          </w:p>
          <w:p w14:paraId="73DFEE8B" w14:textId="77777777" w:rsidR="005C350B" w:rsidRPr="00B07082" w:rsidRDefault="005C350B" w:rsidP="00FE79CB">
            <w:pPr>
              <w:jc w:val="both"/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>Senior investment banker with extensive client coverage and transaction execution experience. Consistently top-ranked. Led the execution of numerous landscape-changing M&amp;A transactions and assisted clients in raising over $9 billion of capital.  Primary coverage officer - with CEO &amp; CFO relationships - for dozens of technology clients.  Heralded for relationship and project management proficiency, integrity, technical mastery, and for consistently providing sound advice to the Firm’s top technology clients.</w:t>
            </w:r>
          </w:p>
          <w:p w14:paraId="70CF4BAB" w14:textId="77777777" w:rsidR="005C350B" w:rsidRPr="00B07082" w:rsidRDefault="005C350B" w:rsidP="00FE79CB">
            <w:pPr>
              <w:jc w:val="both"/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 xml:space="preserve"> </w:t>
            </w:r>
          </w:p>
          <w:p w14:paraId="5B96E504" w14:textId="77777777" w:rsidR="005C350B" w:rsidRPr="00B07082" w:rsidRDefault="005C350B" w:rsidP="00FE79CB">
            <w:pPr>
              <w:jc w:val="both"/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 xml:space="preserve">Played central role in Citi’s training, career management/mentoring, culture and recruiting initiatives  </w:t>
            </w:r>
          </w:p>
          <w:p w14:paraId="46DCBB12" w14:textId="77777777" w:rsidR="005C350B" w:rsidRPr="00B07082" w:rsidRDefault="005C350B" w:rsidP="003D6BA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 xml:space="preserve">Key member of annual Associate Training Program staff.  Developed and taught technical and soft-skills training courses to hundreds of new associates </w:t>
            </w:r>
          </w:p>
          <w:p w14:paraId="1D017B9B" w14:textId="77777777" w:rsidR="005C350B" w:rsidRPr="00B07082" w:rsidRDefault="005C350B" w:rsidP="003D6BA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>Mentor to dozens of associates and analysts both formally and informally. Widely considered one of the most sought-after, approachable, interested, and capable mentors in the Bank</w:t>
            </w:r>
          </w:p>
          <w:p w14:paraId="5CEFA985" w14:textId="77777777" w:rsidR="005C350B" w:rsidRPr="00B07082" w:rsidRDefault="005C350B" w:rsidP="003D6BA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>Technology Group Associate Staffer</w:t>
            </w:r>
          </w:p>
          <w:p w14:paraId="714746B4" w14:textId="77777777" w:rsidR="005C350B" w:rsidRPr="00B07082" w:rsidRDefault="005C350B" w:rsidP="003D6BA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>Founding Member, Project Passion (Successfully implemented unprecedented initiative to improve Citi’s investment banking culture)</w:t>
            </w:r>
          </w:p>
          <w:p w14:paraId="56705D1A" w14:textId="77777777" w:rsidR="005C350B" w:rsidRPr="00B07082" w:rsidRDefault="005C350B" w:rsidP="003D6BA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>Reviewer and Specialist, Associate Program</w:t>
            </w:r>
          </w:p>
          <w:p w14:paraId="2FB09613" w14:textId="77777777" w:rsidR="005C350B" w:rsidRPr="00B07082" w:rsidRDefault="005C350B" w:rsidP="003D6BA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>Team Captain, Cornell Recruiting</w:t>
            </w:r>
          </w:p>
          <w:p w14:paraId="247A1266" w14:textId="77777777" w:rsidR="005C350B" w:rsidRPr="00B07082" w:rsidRDefault="005C350B" w:rsidP="003D6BA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 xml:space="preserve">Conducted several hundred interviews as a key recruiter for Citi </w:t>
            </w:r>
          </w:p>
          <w:p w14:paraId="7A208F12" w14:textId="77777777" w:rsidR="005C350B" w:rsidRPr="00B07082" w:rsidRDefault="005C350B" w:rsidP="003D6BA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>Considered go-to resource for senior management on special projects</w:t>
            </w:r>
          </w:p>
        </w:tc>
      </w:tr>
      <w:tr w:rsidR="005C350B" w:rsidRPr="00B07082" w14:paraId="063E2C40" w14:textId="77777777" w:rsidTr="008E629F">
        <w:tc>
          <w:tcPr>
            <w:tcW w:w="1451" w:type="dxa"/>
          </w:tcPr>
          <w:p w14:paraId="5F83BD30" w14:textId="0CE16B20" w:rsidR="005C350B" w:rsidRPr="00B07082" w:rsidRDefault="008E629F" w:rsidP="00FE79CB">
            <w:pPr>
              <w:rPr>
                <w:b w:val="0"/>
                <w:sz w:val="20"/>
                <w:lang w:val="nb-NO"/>
              </w:rPr>
            </w:pPr>
            <w:r>
              <w:br w:type="page"/>
            </w:r>
          </w:p>
        </w:tc>
        <w:tc>
          <w:tcPr>
            <w:tcW w:w="5376" w:type="dxa"/>
          </w:tcPr>
          <w:p w14:paraId="5BFDD35F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</w:p>
        </w:tc>
        <w:tc>
          <w:tcPr>
            <w:tcW w:w="3325" w:type="dxa"/>
            <w:gridSpan w:val="5"/>
          </w:tcPr>
          <w:p w14:paraId="33A2C3CC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</w:p>
        </w:tc>
      </w:tr>
      <w:tr w:rsidR="005C350B" w:rsidRPr="00B07082" w14:paraId="614B3351" w14:textId="77777777" w:rsidTr="008E629F">
        <w:tc>
          <w:tcPr>
            <w:tcW w:w="1451" w:type="dxa"/>
          </w:tcPr>
          <w:p w14:paraId="1A343D23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  <w:r w:rsidRPr="00B07082">
              <w:rPr>
                <w:b w:val="0"/>
                <w:sz w:val="20"/>
              </w:rPr>
              <w:t>1995-1999</w:t>
            </w:r>
          </w:p>
        </w:tc>
        <w:tc>
          <w:tcPr>
            <w:tcW w:w="5376" w:type="dxa"/>
          </w:tcPr>
          <w:p w14:paraId="611A2FCB" w14:textId="77777777" w:rsidR="005C350B" w:rsidRPr="00B07082" w:rsidRDefault="005C350B" w:rsidP="00FE79CB">
            <w:pPr>
              <w:rPr>
                <w:sz w:val="20"/>
              </w:rPr>
            </w:pPr>
            <w:r w:rsidRPr="00B07082">
              <w:rPr>
                <w:sz w:val="20"/>
              </w:rPr>
              <w:t>GOLDMAN, SACHS &amp; COMPANY</w:t>
            </w:r>
          </w:p>
          <w:p w14:paraId="44A874E8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  <w:r w:rsidRPr="00B07082">
              <w:rPr>
                <w:b w:val="0"/>
                <w:i/>
                <w:sz w:val="20"/>
              </w:rPr>
              <w:t>Project Manager, Information Technology</w:t>
            </w:r>
          </w:p>
        </w:tc>
        <w:tc>
          <w:tcPr>
            <w:tcW w:w="3325" w:type="dxa"/>
            <w:gridSpan w:val="5"/>
          </w:tcPr>
          <w:p w14:paraId="0D99D348" w14:textId="77777777" w:rsidR="005C350B" w:rsidRPr="00B07082" w:rsidRDefault="005C350B" w:rsidP="00FE79CB">
            <w:pPr>
              <w:jc w:val="right"/>
              <w:rPr>
                <w:b w:val="0"/>
                <w:sz w:val="20"/>
                <w:lang w:val="nb-NO"/>
              </w:rPr>
            </w:pPr>
            <w:r w:rsidRPr="00B07082">
              <w:rPr>
                <w:sz w:val="20"/>
              </w:rPr>
              <w:t>New York, NY</w:t>
            </w:r>
          </w:p>
        </w:tc>
      </w:tr>
      <w:tr w:rsidR="005C350B" w:rsidRPr="00B07082" w14:paraId="63344276" w14:textId="77777777" w:rsidTr="008E629F">
        <w:tc>
          <w:tcPr>
            <w:tcW w:w="1451" w:type="dxa"/>
          </w:tcPr>
          <w:p w14:paraId="1CFC932E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</w:p>
        </w:tc>
        <w:tc>
          <w:tcPr>
            <w:tcW w:w="8701" w:type="dxa"/>
            <w:gridSpan w:val="6"/>
          </w:tcPr>
          <w:p w14:paraId="20A6FCA4" w14:textId="77777777" w:rsidR="005C350B" w:rsidRPr="00B07082" w:rsidRDefault="005C350B" w:rsidP="00FE79CB">
            <w:pPr>
              <w:ind w:left="360"/>
              <w:jc w:val="both"/>
              <w:rPr>
                <w:b w:val="0"/>
                <w:sz w:val="20"/>
              </w:rPr>
            </w:pPr>
          </w:p>
          <w:p w14:paraId="4136EA82" w14:textId="77777777" w:rsidR="005C350B" w:rsidRPr="00B07082" w:rsidRDefault="005C350B" w:rsidP="003D6BA3">
            <w:pPr>
              <w:numPr>
                <w:ilvl w:val="0"/>
                <w:numId w:val="1"/>
              </w:numPr>
              <w:tabs>
                <w:tab w:val="clear" w:pos="360"/>
                <w:tab w:val="num" w:pos="1512"/>
              </w:tabs>
              <w:jc w:val="both"/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>Managed the process of initiating, designing, implementing, and supporting large scale ($5M+) trading technology systems for Fixed Income, Equities, Foreign Exchange, and Commodities and external Hedge Fund clients</w:t>
            </w:r>
          </w:p>
          <w:p w14:paraId="72CF4947" w14:textId="77777777" w:rsidR="005C350B" w:rsidRPr="00B07082" w:rsidRDefault="005C350B" w:rsidP="003D6BA3">
            <w:pPr>
              <w:numPr>
                <w:ilvl w:val="0"/>
                <w:numId w:val="1"/>
              </w:numPr>
              <w:tabs>
                <w:tab w:val="clear" w:pos="360"/>
                <w:tab w:val="num" w:pos="1512"/>
              </w:tabs>
              <w:jc w:val="both"/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>Matrix managed groups of 5-10 professionals for duration of project</w:t>
            </w:r>
          </w:p>
          <w:p w14:paraId="153B10A6" w14:textId="77777777" w:rsidR="005C350B" w:rsidRPr="00B07082" w:rsidRDefault="005C350B" w:rsidP="003D6BA3">
            <w:pPr>
              <w:numPr>
                <w:ilvl w:val="0"/>
                <w:numId w:val="1"/>
              </w:numPr>
              <w:tabs>
                <w:tab w:val="clear" w:pos="360"/>
                <w:tab w:val="num" w:pos="1512"/>
              </w:tabs>
              <w:jc w:val="both"/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 xml:space="preserve">Major project management functions included development of business requirements, design of system, evaluation and selection of technology, vendor negotiation, coordination of planning and implementation efforts, end-user training, budget reconciliation, and ongoing support  </w:t>
            </w:r>
          </w:p>
          <w:p w14:paraId="15FA5A7E" w14:textId="77777777" w:rsidR="005C350B" w:rsidRPr="00B07082" w:rsidRDefault="005C350B" w:rsidP="003D6BA3">
            <w:pPr>
              <w:numPr>
                <w:ilvl w:val="0"/>
                <w:numId w:val="1"/>
              </w:numPr>
              <w:tabs>
                <w:tab w:val="clear" w:pos="360"/>
                <w:tab w:val="num" w:pos="1512"/>
              </w:tabs>
              <w:jc w:val="both"/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>Project leader for technology aspects associated with Private Client Service regional office expansion, relocation, and development. Technology budgets exceeded $1M per project</w:t>
            </w:r>
          </w:p>
          <w:p w14:paraId="406E515D" w14:textId="77777777" w:rsidR="005C350B" w:rsidRPr="00B07082" w:rsidRDefault="005C350B" w:rsidP="003D6BA3">
            <w:pPr>
              <w:numPr>
                <w:ilvl w:val="0"/>
                <w:numId w:val="1"/>
              </w:numPr>
              <w:tabs>
                <w:tab w:val="clear" w:pos="360"/>
                <w:tab w:val="num" w:pos="1512"/>
              </w:tabs>
              <w:jc w:val="both"/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>Created a stronger communication mechanism between sales/trading/research professionals and technologists, translating business needs into technical tasks</w:t>
            </w:r>
          </w:p>
        </w:tc>
      </w:tr>
      <w:tr w:rsidR="005C350B" w:rsidRPr="00B07082" w14:paraId="5B34339F" w14:textId="77777777" w:rsidTr="008E629F">
        <w:tc>
          <w:tcPr>
            <w:tcW w:w="1451" w:type="dxa"/>
          </w:tcPr>
          <w:p w14:paraId="66E6955C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</w:p>
        </w:tc>
        <w:tc>
          <w:tcPr>
            <w:tcW w:w="7264" w:type="dxa"/>
            <w:gridSpan w:val="4"/>
          </w:tcPr>
          <w:p w14:paraId="36FCEB39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</w:p>
        </w:tc>
        <w:tc>
          <w:tcPr>
            <w:tcW w:w="1437" w:type="dxa"/>
            <w:gridSpan w:val="2"/>
          </w:tcPr>
          <w:p w14:paraId="1FD8CCC4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</w:p>
        </w:tc>
      </w:tr>
      <w:tr w:rsidR="005C350B" w:rsidRPr="00B07082" w14:paraId="46F0D2FA" w14:textId="77777777" w:rsidTr="008E629F">
        <w:tc>
          <w:tcPr>
            <w:tcW w:w="1451" w:type="dxa"/>
          </w:tcPr>
          <w:p w14:paraId="7CAD5258" w14:textId="77777777" w:rsidR="005C350B" w:rsidRPr="00B07082" w:rsidRDefault="005C350B" w:rsidP="00FE79CB">
            <w:pPr>
              <w:rPr>
                <w:sz w:val="20"/>
              </w:rPr>
            </w:pPr>
          </w:p>
        </w:tc>
        <w:tc>
          <w:tcPr>
            <w:tcW w:w="7264" w:type="dxa"/>
            <w:gridSpan w:val="4"/>
          </w:tcPr>
          <w:p w14:paraId="203CF647" w14:textId="77777777" w:rsidR="005C350B" w:rsidRPr="00B07082" w:rsidRDefault="005C350B" w:rsidP="00FE79CB">
            <w:pPr>
              <w:rPr>
                <w:sz w:val="20"/>
              </w:rPr>
            </w:pPr>
          </w:p>
        </w:tc>
        <w:tc>
          <w:tcPr>
            <w:tcW w:w="1437" w:type="dxa"/>
            <w:gridSpan w:val="2"/>
          </w:tcPr>
          <w:p w14:paraId="5DC0C274" w14:textId="77777777" w:rsidR="005C350B" w:rsidRPr="00B07082" w:rsidRDefault="005C350B" w:rsidP="00FE79CB">
            <w:pPr>
              <w:jc w:val="right"/>
              <w:rPr>
                <w:sz w:val="20"/>
              </w:rPr>
            </w:pPr>
          </w:p>
        </w:tc>
      </w:tr>
      <w:tr w:rsidR="005C350B" w:rsidRPr="00B07082" w14:paraId="4CF63988" w14:textId="77777777" w:rsidTr="008E629F">
        <w:tc>
          <w:tcPr>
            <w:tcW w:w="1451" w:type="dxa"/>
          </w:tcPr>
          <w:p w14:paraId="1FDA9DCF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  <w:r w:rsidRPr="00B07082">
              <w:rPr>
                <w:sz w:val="20"/>
              </w:rPr>
              <w:t>Education:</w:t>
            </w:r>
          </w:p>
        </w:tc>
        <w:tc>
          <w:tcPr>
            <w:tcW w:w="7264" w:type="dxa"/>
            <w:gridSpan w:val="4"/>
          </w:tcPr>
          <w:p w14:paraId="20E4D1A3" w14:textId="77777777" w:rsidR="005C350B" w:rsidRDefault="005C350B" w:rsidP="00AA12AC">
            <w:pPr>
              <w:rPr>
                <w:sz w:val="20"/>
              </w:rPr>
            </w:pPr>
            <w:r>
              <w:rPr>
                <w:sz w:val="20"/>
              </w:rPr>
              <w:t xml:space="preserve">SAMUEL CURTIS JOHNSON GRADUATE SCHOOL OF MANAGEMENT </w:t>
            </w:r>
          </w:p>
          <w:p w14:paraId="054B1FFA" w14:textId="77777777" w:rsidR="005C350B" w:rsidRDefault="005C350B" w:rsidP="00AA12AC">
            <w:pPr>
              <w:rPr>
                <w:sz w:val="20"/>
              </w:rPr>
            </w:pPr>
            <w:r>
              <w:rPr>
                <w:sz w:val="20"/>
              </w:rPr>
              <w:t>AT</w:t>
            </w:r>
            <w:r w:rsidRPr="009E288E">
              <w:rPr>
                <w:sz w:val="20"/>
              </w:rPr>
              <w:t xml:space="preserve"> </w:t>
            </w:r>
            <w:r>
              <w:rPr>
                <w:sz w:val="20"/>
              </w:rPr>
              <w:t>CORNELL UNIVERSITY</w:t>
            </w:r>
          </w:p>
          <w:p w14:paraId="2E16716B" w14:textId="77777777" w:rsidR="005C350B" w:rsidRPr="00B07082" w:rsidRDefault="005C350B" w:rsidP="00FE79CB">
            <w:pPr>
              <w:rPr>
                <w:b w:val="0"/>
                <w:sz w:val="20"/>
              </w:rPr>
            </w:pPr>
          </w:p>
        </w:tc>
        <w:tc>
          <w:tcPr>
            <w:tcW w:w="1437" w:type="dxa"/>
            <w:gridSpan w:val="2"/>
          </w:tcPr>
          <w:p w14:paraId="2E09E72B" w14:textId="77777777" w:rsidR="005C350B" w:rsidRPr="00B07082" w:rsidRDefault="005C350B" w:rsidP="00FE79CB">
            <w:pPr>
              <w:jc w:val="right"/>
              <w:rPr>
                <w:b w:val="0"/>
                <w:sz w:val="20"/>
                <w:lang w:val="nb-NO"/>
              </w:rPr>
            </w:pPr>
            <w:r w:rsidRPr="00B07082">
              <w:rPr>
                <w:sz w:val="20"/>
              </w:rPr>
              <w:t>Ithaca, NY</w:t>
            </w:r>
          </w:p>
        </w:tc>
      </w:tr>
      <w:tr w:rsidR="005C350B" w:rsidRPr="00B07082" w14:paraId="2EC2BD2A" w14:textId="77777777" w:rsidTr="008E629F">
        <w:tc>
          <w:tcPr>
            <w:tcW w:w="1451" w:type="dxa"/>
          </w:tcPr>
          <w:p w14:paraId="1D09F93D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</w:p>
        </w:tc>
        <w:tc>
          <w:tcPr>
            <w:tcW w:w="8701" w:type="dxa"/>
            <w:gridSpan w:val="6"/>
          </w:tcPr>
          <w:p w14:paraId="22AB630B" w14:textId="77777777" w:rsidR="005C350B" w:rsidRPr="00B07082" w:rsidRDefault="005C350B" w:rsidP="00FE79CB">
            <w:pPr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>Master of Business Administration, May 2001</w:t>
            </w:r>
          </w:p>
          <w:p w14:paraId="24035438" w14:textId="77777777" w:rsidR="005C350B" w:rsidRPr="00B07082" w:rsidRDefault="005C350B" w:rsidP="005D7D50">
            <w:pPr>
              <w:jc w:val="both"/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 xml:space="preserve">Wall Street Journal Student of Finance; Fried Fellow; Class Co-President; President, Finance Club </w:t>
            </w:r>
          </w:p>
        </w:tc>
      </w:tr>
      <w:tr w:rsidR="005C350B" w:rsidRPr="00B07082" w14:paraId="32C32217" w14:textId="77777777" w:rsidTr="008E629F">
        <w:tc>
          <w:tcPr>
            <w:tcW w:w="1451" w:type="dxa"/>
          </w:tcPr>
          <w:p w14:paraId="7FDFBF68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</w:p>
        </w:tc>
        <w:tc>
          <w:tcPr>
            <w:tcW w:w="5376" w:type="dxa"/>
          </w:tcPr>
          <w:p w14:paraId="45BF001A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</w:p>
        </w:tc>
        <w:tc>
          <w:tcPr>
            <w:tcW w:w="3325" w:type="dxa"/>
            <w:gridSpan w:val="5"/>
          </w:tcPr>
          <w:p w14:paraId="4B73C115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</w:p>
        </w:tc>
      </w:tr>
      <w:tr w:rsidR="005C350B" w:rsidRPr="00B07082" w14:paraId="0E320459" w14:textId="77777777" w:rsidTr="008E629F">
        <w:tc>
          <w:tcPr>
            <w:tcW w:w="1451" w:type="dxa"/>
          </w:tcPr>
          <w:p w14:paraId="02FF8F92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</w:p>
        </w:tc>
        <w:tc>
          <w:tcPr>
            <w:tcW w:w="5376" w:type="dxa"/>
          </w:tcPr>
          <w:p w14:paraId="213384E5" w14:textId="77777777" w:rsidR="005C350B" w:rsidRPr="00B07082" w:rsidRDefault="005C350B" w:rsidP="003C168C">
            <w:pPr>
              <w:pStyle w:val="Heading1"/>
              <w:ind w:left="0" w:firstLine="0"/>
              <w:rPr>
                <w:b w:val="0"/>
                <w:sz w:val="20"/>
                <w:lang w:val="nb-NO"/>
              </w:rPr>
            </w:pPr>
            <w:r w:rsidRPr="00B07082">
              <w:rPr>
                <w:sz w:val="20"/>
              </w:rPr>
              <w:t xml:space="preserve">JAMES MADISON UNIVERSITY </w:t>
            </w:r>
            <w:r w:rsidRPr="00B07082">
              <w:rPr>
                <w:sz w:val="20"/>
              </w:rPr>
              <w:tab/>
            </w:r>
            <w:r w:rsidRPr="00B07082">
              <w:rPr>
                <w:sz w:val="20"/>
              </w:rPr>
              <w:tab/>
            </w:r>
            <w:r w:rsidRPr="00B07082">
              <w:rPr>
                <w:sz w:val="20"/>
              </w:rPr>
              <w:tab/>
            </w:r>
            <w:r w:rsidRPr="00B07082">
              <w:rPr>
                <w:sz w:val="20"/>
              </w:rPr>
              <w:tab/>
              <w:t xml:space="preserve"> </w:t>
            </w:r>
          </w:p>
        </w:tc>
        <w:tc>
          <w:tcPr>
            <w:tcW w:w="3325" w:type="dxa"/>
            <w:gridSpan w:val="5"/>
          </w:tcPr>
          <w:p w14:paraId="507E0927" w14:textId="77777777" w:rsidR="005C350B" w:rsidRPr="00B07082" w:rsidRDefault="005C350B" w:rsidP="00FE79CB">
            <w:pPr>
              <w:jc w:val="right"/>
              <w:rPr>
                <w:b w:val="0"/>
                <w:sz w:val="20"/>
                <w:lang w:val="nb-NO"/>
              </w:rPr>
            </w:pPr>
            <w:r w:rsidRPr="00B07082">
              <w:rPr>
                <w:sz w:val="20"/>
              </w:rPr>
              <w:t>Harrisonburg, VA</w:t>
            </w:r>
          </w:p>
        </w:tc>
      </w:tr>
      <w:tr w:rsidR="005C350B" w:rsidRPr="00B07082" w14:paraId="7E968502" w14:textId="77777777" w:rsidTr="008E629F">
        <w:tc>
          <w:tcPr>
            <w:tcW w:w="1451" w:type="dxa"/>
          </w:tcPr>
          <w:p w14:paraId="2FDD8261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</w:p>
        </w:tc>
        <w:tc>
          <w:tcPr>
            <w:tcW w:w="8701" w:type="dxa"/>
            <w:gridSpan w:val="6"/>
          </w:tcPr>
          <w:p w14:paraId="5FDF97FB" w14:textId="77777777" w:rsidR="005C350B" w:rsidRPr="00B07082" w:rsidRDefault="005C350B" w:rsidP="00FE79CB">
            <w:pPr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>Bachelor of Business Administration, Computer Info Systems, May 1995</w:t>
            </w:r>
          </w:p>
          <w:p w14:paraId="1FD662BC" w14:textId="77777777" w:rsidR="005C350B" w:rsidRPr="00B07082" w:rsidRDefault="005C350B" w:rsidP="00FE79CB">
            <w:pPr>
              <w:jc w:val="both"/>
              <w:rPr>
                <w:b w:val="0"/>
                <w:sz w:val="20"/>
                <w:lang w:val="it-IT"/>
              </w:rPr>
            </w:pPr>
            <w:r w:rsidRPr="00B07082">
              <w:rPr>
                <w:b w:val="0"/>
                <w:i/>
                <w:sz w:val="20"/>
                <w:lang w:val="it-IT"/>
              </w:rPr>
              <w:t>Magna Cum Laude</w:t>
            </w:r>
            <w:r w:rsidRPr="00B07082">
              <w:rPr>
                <w:b w:val="0"/>
                <w:sz w:val="20"/>
                <w:lang w:val="it-IT"/>
              </w:rPr>
              <w:t>, Beta Gamma Sigma, Delta Sigma Pi professional business fraternity</w:t>
            </w:r>
          </w:p>
        </w:tc>
      </w:tr>
      <w:tr w:rsidR="005C350B" w:rsidRPr="00B07082" w14:paraId="122D7492" w14:textId="77777777" w:rsidTr="008E629F">
        <w:tc>
          <w:tcPr>
            <w:tcW w:w="1451" w:type="dxa"/>
          </w:tcPr>
          <w:p w14:paraId="6F799F33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</w:p>
        </w:tc>
        <w:tc>
          <w:tcPr>
            <w:tcW w:w="5376" w:type="dxa"/>
          </w:tcPr>
          <w:p w14:paraId="27DD62F0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</w:p>
        </w:tc>
        <w:tc>
          <w:tcPr>
            <w:tcW w:w="3325" w:type="dxa"/>
            <w:gridSpan w:val="5"/>
          </w:tcPr>
          <w:p w14:paraId="73294AF4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</w:p>
        </w:tc>
      </w:tr>
      <w:tr w:rsidR="005C350B" w:rsidRPr="00B07082" w14:paraId="66B5B2C0" w14:textId="77777777" w:rsidTr="008E629F">
        <w:tc>
          <w:tcPr>
            <w:tcW w:w="1451" w:type="dxa"/>
          </w:tcPr>
          <w:p w14:paraId="74DDB750" w14:textId="77777777" w:rsidR="005C350B" w:rsidRPr="00B07082" w:rsidRDefault="005C350B" w:rsidP="00FE79CB">
            <w:pPr>
              <w:rPr>
                <w:b w:val="0"/>
                <w:sz w:val="20"/>
                <w:lang w:val="nb-NO"/>
              </w:rPr>
            </w:pPr>
            <w:r w:rsidRPr="00B07082">
              <w:rPr>
                <w:sz w:val="20"/>
              </w:rPr>
              <w:t>Interests:</w:t>
            </w:r>
          </w:p>
        </w:tc>
        <w:tc>
          <w:tcPr>
            <w:tcW w:w="8701" w:type="dxa"/>
            <w:gridSpan w:val="6"/>
          </w:tcPr>
          <w:p w14:paraId="78CE73B1" w14:textId="77777777" w:rsidR="005C350B" w:rsidRPr="00B07082" w:rsidRDefault="005C350B" w:rsidP="004A204E">
            <w:pPr>
              <w:rPr>
                <w:b w:val="0"/>
                <w:sz w:val="20"/>
              </w:rPr>
            </w:pPr>
            <w:r w:rsidRPr="00B07082">
              <w:rPr>
                <w:b w:val="0"/>
                <w:sz w:val="20"/>
              </w:rPr>
              <w:t>Financial Literacy advancement (Museum of American Finance), travel, fitness and healthy living, golf, skiing</w:t>
            </w:r>
          </w:p>
          <w:p w14:paraId="2339426A" w14:textId="77777777" w:rsidR="005C350B" w:rsidRPr="00B07082" w:rsidRDefault="005C350B" w:rsidP="004A204E">
            <w:pPr>
              <w:rPr>
                <w:b w:val="0"/>
                <w:sz w:val="20"/>
                <w:lang w:val="nb-NO"/>
              </w:rPr>
            </w:pPr>
          </w:p>
        </w:tc>
      </w:tr>
      <w:tr w:rsidR="00185986" w:rsidRPr="00B07082" w14:paraId="28839AA6" w14:textId="77777777" w:rsidTr="008E6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63974C36" w14:textId="77777777" w:rsidR="00185986" w:rsidRPr="00B07082" w:rsidRDefault="00185986" w:rsidP="00185986">
            <w:pPr>
              <w:rPr>
                <w:b w:val="0"/>
                <w:sz w:val="20"/>
                <w:lang w:val="nb-NO"/>
              </w:rPr>
            </w:pPr>
            <w:r>
              <w:rPr>
                <w:sz w:val="20"/>
              </w:rPr>
              <w:t>Certifications</w:t>
            </w:r>
            <w:r w:rsidRPr="00B07082">
              <w:rPr>
                <w:sz w:val="20"/>
              </w:rPr>
              <w:t>:</w:t>
            </w:r>
          </w:p>
        </w:tc>
        <w:tc>
          <w:tcPr>
            <w:tcW w:w="87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539300" w14:textId="77777777" w:rsidR="00185986" w:rsidRPr="00B07082" w:rsidRDefault="00185986" w:rsidP="00DE3C5A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FINRA Series 7</w:t>
            </w:r>
            <w:r w:rsidR="007465B6">
              <w:rPr>
                <w:b w:val="0"/>
                <w:sz w:val="20"/>
              </w:rPr>
              <w:t>9</w:t>
            </w:r>
            <w:r>
              <w:rPr>
                <w:b w:val="0"/>
                <w:sz w:val="20"/>
              </w:rPr>
              <w:t xml:space="preserve"> and 63</w:t>
            </w:r>
          </w:p>
          <w:p w14:paraId="273B499C" w14:textId="77777777" w:rsidR="00185986" w:rsidRPr="00B07082" w:rsidRDefault="00185986" w:rsidP="00DE3C5A">
            <w:pPr>
              <w:rPr>
                <w:b w:val="0"/>
                <w:sz w:val="20"/>
                <w:lang w:val="nb-NO"/>
              </w:rPr>
            </w:pPr>
          </w:p>
        </w:tc>
      </w:tr>
    </w:tbl>
    <w:p w14:paraId="5BD095E3" w14:textId="77777777" w:rsidR="00CB15EB" w:rsidRPr="00B07082" w:rsidRDefault="00CB15EB" w:rsidP="00D96800">
      <w:pPr>
        <w:pStyle w:val="Title"/>
        <w:rPr>
          <w:b w:val="0"/>
          <w:sz w:val="20"/>
          <w:lang w:val="nb-NO"/>
        </w:rPr>
      </w:pPr>
    </w:p>
    <w:sectPr w:rsidR="00CB15EB" w:rsidRPr="00B07082" w:rsidSect="002769AA">
      <w:footerReference w:type="default" r:id="rId7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6F871" w14:textId="77777777" w:rsidR="00AD7F60" w:rsidRDefault="00AD7F60" w:rsidP="00A51313">
      <w:r>
        <w:separator/>
      </w:r>
    </w:p>
  </w:endnote>
  <w:endnote w:type="continuationSeparator" w:id="0">
    <w:p w14:paraId="04109568" w14:textId="77777777" w:rsidR="00AD7F60" w:rsidRDefault="00AD7F60" w:rsidP="00A5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716" w14:textId="29D37A72" w:rsidR="00A51313" w:rsidRDefault="00D5382D">
    <w:pPr>
      <w:pStyle w:val="Footer"/>
    </w:pPr>
    <w:r>
      <w:ptab w:relativeTo="margin" w:alignment="center" w:leader="none"/>
    </w:r>
    <w:r>
      <w:ptab w:relativeTo="margin" w:alignment="right" w:leader="none"/>
    </w:r>
    <w:r w:rsidR="00B43E1C">
      <w:t>January</w:t>
    </w:r>
    <w:r>
      <w:t xml:space="preserve"> 2</w:t>
    </w:r>
    <w:r w:rsidR="00B43E1C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0746E" w14:textId="77777777" w:rsidR="00AD7F60" w:rsidRDefault="00AD7F60" w:rsidP="00A51313">
      <w:r>
        <w:separator/>
      </w:r>
    </w:p>
  </w:footnote>
  <w:footnote w:type="continuationSeparator" w:id="0">
    <w:p w14:paraId="33A406E8" w14:textId="77777777" w:rsidR="00AD7F60" w:rsidRDefault="00AD7F60" w:rsidP="00A51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500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2702D"/>
    <w:multiLevelType w:val="hybridMultilevel"/>
    <w:tmpl w:val="7688C6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9FF5D13"/>
    <w:multiLevelType w:val="hybridMultilevel"/>
    <w:tmpl w:val="5B16C75C"/>
    <w:lvl w:ilvl="0" w:tplc="620267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B0AF1"/>
    <w:multiLevelType w:val="hybridMultilevel"/>
    <w:tmpl w:val="923C9D18"/>
    <w:lvl w:ilvl="0" w:tplc="7BA61316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9401A"/>
    <w:multiLevelType w:val="hybridMultilevel"/>
    <w:tmpl w:val="85243218"/>
    <w:lvl w:ilvl="0" w:tplc="05F4C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C605D"/>
    <w:multiLevelType w:val="hybridMultilevel"/>
    <w:tmpl w:val="2A2EA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854217">
    <w:abstractNumId w:val="0"/>
  </w:num>
  <w:num w:numId="2" w16cid:durableId="1929146332">
    <w:abstractNumId w:val="1"/>
  </w:num>
  <w:num w:numId="3" w16cid:durableId="1192382837">
    <w:abstractNumId w:val="3"/>
  </w:num>
  <w:num w:numId="4" w16cid:durableId="701907678">
    <w:abstractNumId w:val="5"/>
  </w:num>
  <w:num w:numId="5" w16cid:durableId="1394620347">
    <w:abstractNumId w:val="2"/>
  </w:num>
  <w:num w:numId="6" w16cid:durableId="1147436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3D6BA3"/>
    <w:rsid w:val="000014E9"/>
    <w:rsid w:val="00034D93"/>
    <w:rsid w:val="00063DDF"/>
    <w:rsid w:val="0007559C"/>
    <w:rsid w:val="0011210C"/>
    <w:rsid w:val="0018477F"/>
    <w:rsid w:val="00184F6A"/>
    <w:rsid w:val="00185986"/>
    <w:rsid w:val="001B53E8"/>
    <w:rsid w:val="001E4907"/>
    <w:rsid w:val="001F6D88"/>
    <w:rsid w:val="00233E99"/>
    <w:rsid w:val="00257B21"/>
    <w:rsid w:val="0026675D"/>
    <w:rsid w:val="00267D8B"/>
    <w:rsid w:val="002769AA"/>
    <w:rsid w:val="00283272"/>
    <w:rsid w:val="0029679A"/>
    <w:rsid w:val="002A3C0E"/>
    <w:rsid w:val="002C7926"/>
    <w:rsid w:val="002E328D"/>
    <w:rsid w:val="002E6F97"/>
    <w:rsid w:val="002F7DFE"/>
    <w:rsid w:val="00302338"/>
    <w:rsid w:val="00317CCB"/>
    <w:rsid w:val="00325523"/>
    <w:rsid w:val="0033797A"/>
    <w:rsid w:val="003549AC"/>
    <w:rsid w:val="003C168C"/>
    <w:rsid w:val="003C38D5"/>
    <w:rsid w:val="003C7640"/>
    <w:rsid w:val="003D6BA3"/>
    <w:rsid w:val="003E2CB6"/>
    <w:rsid w:val="003F081C"/>
    <w:rsid w:val="003F5D1B"/>
    <w:rsid w:val="00442EFD"/>
    <w:rsid w:val="0044432E"/>
    <w:rsid w:val="00444980"/>
    <w:rsid w:val="004451DA"/>
    <w:rsid w:val="00456AAE"/>
    <w:rsid w:val="00460E0B"/>
    <w:rsid w:val="00496729"/>
    <w:rsid w:val="00497260"/>
    <w:rsid w:val="004A204E"/>
    <w:rsid w:val="004C183D"/>
    <w:rsid w:val="004D49BF"/>
    <w:rsid w:val="00501234"/>
    <w:rsid w:val="00520E69"/>
    <w:rsid w:val="00522F65"/>
    <w:rsid w:val="00531141"/>
    <w:rsid w:val="0053770B"/>
    <w:rsid w:val="005633BB"/>
    <w:rsid w:val="00582EC2"/>
    <w:rsid w:val="00583A19"/>
    <w:rsid w:val="005C350B"/>
    <w:rsid w:val="005D4E57"/>
    <w:rsid w:val="005D7D50"/>
    <w:rsid w:val="005F4E4C"/>
    <w:rsid w:val="00604478"/>
    <w:rsid w:val="00605E97"/>
    <w:rsid w:val="006124F3"/>
    <w:rsid w:val="00656DA7"/>
    <w:rsid w:val="00661B27"/>
    <w:rsid w:val="00686516"/>
    <w:rsid w:val="00687749"/>
    <w:rsid w:val="00695E3D"/>
    <w:rsid w:val="006A2766"/>
    <w:rsid w:val="006B7D3B"/>
    <w:rsid w:val="006C48F8"/>
    <w:rsid w:val="006D797B"/>
    <w:rsid w:val="00714AC8"/>
    <w:rsid w:val="007332D5"/>
    <w:rsid w:val="00735EB0"/>
    <w:rsid w:val="00737218"/>
    <w:rsid w:val="007465B6"/>
    <w:rsid w:val="0074670B"/>
    <w:rsid w:val="00752216"/>
    <w:rsid w:val="007719A0"/>
    <w:rsid w:val="00781D8B"/>
    <w:rsid w:val="00784F45"/>
    <w:rsid w:val="00793D22"/>
    <w:rsid w:val="007D5DE5"/>
    <w:rsid w:val="007F367B"/>
    <w:rsid w:val="00805D87"/>
    <w:rsid w:val="00863286"/>
    <w:rsid w:val="00894309"/>
    <w:rsid w:val="00895793"/>
    <w:rsid w:val="00896A9A"/>
    <w:rsid w:val="008B0F03"/>
    <w:rsid w:val="008C4BA6"/>
    <w:rsid w:val="008D3BEF"/>
    <w:rsid w:val="008E629F"/>
    <w:rsid w:val="00915812"/>
    <w:rsid w:val="009223A3"/>
    <w:rsid w:val="0092519D"/>
    <w:rsid w:val="009522AD"/>
    <w:rsid w:val="00992E1A"/>
    <w:rsid w:val="009E288E"/>
    <w:rsid w:val="009E6652"/>
    <w:rsid w:val="009F533C"/>
    <w:rsid w:val="00A2328F"/>
    <w:rsid w:val="00A37F7E"/>
    <w:rsid w:val="00A44BA8"/>
    <w:rsid w:val="00A50258"/>
    <w:rsid w:val="00A504E6"/>
    <w:rsid w:val="00A51313"/>
    <w:rsid w:val="00AA12AC"/>
    <w:rsid w:val="00AB62D5"/>
    <w:rsid w:val="00AD4DA3"/>
    <w:rsid w:val="00AD65D4"/>
    <w:rsid w:val="00AD7F60"/>
    <w:rsid w:val="00AF2A94"/>
    <w:rsid w:val="00B07082"/>
    <w:rsid w:val="00B43E1C"/>
    <w:rsid w:val="00B80936"/>
    <w:rsid w:val="00B94F16"/>
    <w:rsid w:val="00BA5C67"/>
    <w:rsid w:val="00BC6F5D"/>
    <w:rsid w:val="00C06C25"/>
    <w:rsid w:val="00C26466"/>
    <w:rsid w:val="00C55B0E"/>
    <w:rsid w:val="00C6780B"/>
    <w:rsid w:val="00C70DBE"/>
    <w:rsid w:val="00C71672"/>
    <w:rsid w:val="00C71F54"/>
    <w:rsid w:val="00C736DE"/>
    <w:rsid w:val="00C80C32"/>
    <w:rsid w:val="00CB087B"/>
    <w:rsid w:val="00CB15EB"/>
    <w:rsid w:val="00CD026F"/>
    <w:rsid w:val="00CD65FC"/>
    <w:rsid w:val="00D5382D"/>
    <w:rsid w:val="00D612E6"/>
    <w:rsid w:val="00D768B7"/>
    <w:rsid w:val="00D96800"/>
    <w:rsid w:val="00DA7138"/>
    <w:rsid w:val="00DD4575"/>
    <w:rsid w:val="00DD47BA"/>
    <w:rsid w:val="00DE6B23"/>
    <w:rsid w:val="00DF52B1"/>
    <w:rsid w:val="00E12B50"/>
    <w:rsid w:val="00E34829"/>
    <w:rsid w:val="00E42BBB"/>
    <w:rsid w:val="00E45F56"/>
    <w:rsid w:val="00E6271D"/>
    <w:rsid w:val="00E744E7"/>
    <w:rsid w:val="00E749A4"/>
    <w:rsid w:val="00EC0DD8"/>
    <w:rsid w:val="00ED2291"/>
    <w:rsid w:val="00EF4A73"/>
    <w:rsid w:val="00F015E8"/>
    <w:rsid w:val="00F20AC2"/>
    <w:rsid w:val="00F26773"/>
    <w:rsid w:val="00F7031F"/>
    <w:rsid w:val="00F70BFB"/>
    <w:rsid w:val="00F72326"/>
    <w:rsid w:val="00F74EB7"/>
    <w:rsid w:val="00FB6EAE"/>
    <w:rsid w:val="00FD48CC"/>
    <w:rsid w:val="00FE79CB"/>
    <w:rsid w:val="00FF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AD2D66"/>
  <w14:defaultImageDpi w14:val="96"/>
  <w15:docId w15:val="{8DE0D768-4D4E-45DA-807F-817F2CCC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BA3"/>
    <w:pPr>
      <w:spacing w:after="0" w:line="240" w:lineRule="auto"/>
    </w:pPr>
    <w:rPr>
      <w:rFonts w:ascii="Times New Roman" w:hAnsi="Times New Roman" w:cs="Times New Roman"/>
      <w:b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6BA3"/>
    <w:pPr>
      <w:keepNext/>
      <w:ind w:left="1728" w:firstLine="288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D6BA3"/>
    <w:rPr>
      <w:rFonts w:ascii="Times New Roman" w:hAnsi="Times New Roman" w:cs="Times New Roman"/>
      <w:b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3D6BA3"/>
    <w:pPr>
      <w:jc w:val="center"/>
    </w:pPr>
  </w:style>
  <w:style w:type="character" w:customStyle="1" w:styleId="TitleChar">
    <w:name w:val="Title Char"/>
    <w:basedOn w:val="DefaultParagraphFont"/>
    <w:link w:val="Title"/>
    <w:uiPriority w:val="10"/>
    <w:locked/>
    <w:rsid w:val="003D6BA3"/>
    <w:rPr>
      <w:rFonts w:ascii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3D6BA3"/>
    <w:pPr>
      <w:ind w:left="720"/>
      <w:contextualSpacing/>
    </w:pPr>
  </w:style>
  <w:style w:type="table" w:styleId="TableGrid">
    <w:name w:val="Table Grid"/>
    <w:basedOn w:val="TableNormal"/>
    <w:uiPriority w:val="59"/>
    <w:rsid w:val="003D6BA3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7926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2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52B1"/>
    <w:rPr>
      <w:rFonts w:ascii="Tahoma" w:hAnsi="Tahoma" w:cs="Tahoma"/>
      <w:b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1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313"/>
    <w:rPr>
      <w:rFonts w:ascii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51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313"/>
    <w:rPr>
      <w:rFonts w:ascii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</dc:creator>
  <cp:lastModifiedBy>Drew Pascarella</cp:lastModifiedBy>
  <cp:revision>2</cp:revision>
  <cp:lastPrinted>2020-03-20T17:15:00Z</cp:lastPrinted>
  <dcterms:created xsi:type="dcterms:W3CDTF">2026-01-08T17:32:00Z</dcterms:created>
  <dcterms:modified xsi:type="dcterms:W3CDTF">2026-01-08T17:32:00Z</dcterms:modified>
</cp:coreProperties>
</file>